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90" w:rsidRPr="00D65D90" w:rsidRDefault="00D65D90" w:rsidP="00D65D9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D65D90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 wp14:anchorId="03B37186" wp14:editId="1616C499">
            <wp:extent cx="704850" cy="419100"/>
            <wp:effectExtent l="0" t="0" r="0" b="0"/>
            <wp:docPr id="1" name="Рисунок 1" descr="Издательский дом &quot;Заславск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дательский дом &quot;Заславский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90" w:rsidRPr="00D65D90" w:rsidRDefault="00D65D90" w:rsidP="00D65D90">
      <w:pPr>
        <w:spacing w:before="375" w:after="33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</w:pPr>
      <w:r w:rsidRPr="00D65D90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Международный неврологический журнал 6 (28) 2009</w:t>
      </w:r>
    </w:p>
    <w:p w:rsidR="00D65D90" w:rsidRPr="00D65D90" w:rsidRDefault="00D65D90" w:rsidP="00D65D90">
      <w:pPr>
        <w:spacing w:before="375" w:after="33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</w:pPr>
      <w:r w:rsidRPr="00D65D90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Особенности лечения больных с ишемическим инсультом на фоне метаболического синдрома</w:t>
      </w:r>
    </w:p>
    <w:p w:rsidR="00D65D90" w:rsidRPr="00D65D90" w:rsidRDefault="00D65D90" w:rsidP="00D65D90">
      <w:pPr>
        <w:spacing w:after="24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D65D90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Авторы:</w:t>
      </w:r>
      <w:r w:rsidRPr="00D65D90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Орлов С.В., к.м.н., научный сотрудник 1-го сосудистого отделения; Домашенко М.А., к.м.н., научный сотрудник 2-го сосудистого отделения; Танашян М.М., д.м.н., ученый секретарь, руководитель 1-го сосудистого отделения; Научный центр неврологии РАМН, г. Москва, Россия </w:t>
      </w:r>
      <w:r w:rsidRPr="00D65D90">
        <w:rPr>
          <w:rFonts w:ascii="Verdana" w:eastAsia="Times New Roman" w:hAnsi="Verdana" w:cs="Times New Roman"/>
          <w:sz w:val="17"/>
          <w:szCs w:val="17"/>
          <w:lang w:eastAsia="ru-RU"/>
        </w:rPr>
        <w:br/>
      </w:r>
      <w:r w:rsidRPr="00D65D90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Рубрики:</w:t>
      </w:r>
      <w:r w:rsidRPr="00D65D90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Неврология 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медицинской науки и практики последних десятилетий позволили достичь больших успехов в лечении различных заболеваний, значительно изменив структуру заболеваемости и смертности. В настоящее время главной причиной смертности населения развитых стран мира являются заболевания системы кровообращения, в том числе сосудистые заболевания головного мозга. Разработка и внедрение новых программ и методов диагностики, лечения и профилактики цереброваскулярных заболеваний являются важнейшей медико</w:t>
      </w: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социальной и экономической задачей.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и клиницисты очень давно подметили, что сочетание нескольких факторов риска значительно увеличивает вероятность развития наиболее серьезных заболеваний системы кровообращения — ишемического инсульта и инфаркта миокарда. Еще в 1948 г. известный клиницист Е.М. Тареев отмечал, что «…представление о гипертонике наиболее часто ассоциируется с ожирелым гиперстеником, с возможным нарушением белкового обмена, с засорением крови продуктами неполного метаморфоза — холестерином, мочевой кислотой...» Таким образом, более 50 лет назад было практически сформировано представление о метаболическом синдроме (МС). В 1988 г. американский ученый G. Reaven предложил понятие «метаболический синдром Х», в которое он включил сочетание инсулинорезистентности с гиперинсулинемией, артериальную гипертензию, дислипидемию и нарушение толерантности к глюкозе. Впоследствии МС был дополнен такими характеристиками, как гиперурикемия, гипертрофия левого желудочка, гиперфибриногенемия, склерокистоз яичников и т.д. [9, 10]. Распространенность МС среди населения составляет 10–30 % и неуклонно растет. МС вызывается сочетанием генетических факторов и стиля жизни. Снижение физической активности и высокоуглеводный характер питания являются главными причинами того, что заболеваемость МС приобретает характер эпидемии.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существует несколько классификаций, предложенных различными авторитетными медицинскими организациями для верификации диагноза МС. Одной из наиболее распространенных и простых в применении клиницистами является ATP III (Adult Treatment Panel III) (табл. 1). По этой классификации диагноз МС ставится при сочетании трех и более факторов.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D877B0" wp14:editId="5274A029">
            <wp:extent cx="4857750" cy="1092200"/>
            <wp:effectExtent l="0" t="0" r="0" b="0"/>
            <wp:docPr id="2" name="Рисунок 2" descr="http://www.mif-ua.com/frmtext/MNJ/2009/6(28)/27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if-ua.com/frmtext/MNJ/2009/6(28)/27/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Нарушения, вызываемые МС, затрагивают все органы и системы органов. Во многих исследованиях было показано, что МС обязательно приводит к выраженным изменениям гемореологии системы гемостаза, которые имеют определяющее значение в возникновении, прогрессировании и прогнозе цереброваскулярных заболеваний.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пациентов с МС отмечено нарушение всех звеньев процесса свертывания крови — от адгезии и агрегации тромбоцитов и эритроцитов до коагуляции и фибринолиза. Гипергликемия приводит к повышенному гликированию мембранных протеинов тромбоцитов, что снижает их упругость и продолжительность жизни, приводит к гиперагрегации и повышенному высвобождению биологически активных веществ, способствующих тромбообразованию [5]. Выявляются изменения и в эритроцитах, которые обладают самостоятельной свертывающей и фибринолитической активностью и способны оказывать воздействие на функциональную активность тромбоцитов [2]. У больных с МС в эритроцитарных мембранах уменьшено содержание метаболически активных фосфолипидов, отмечается активация перекисного окисления липидов, трансмембранного АТФ</w:t>
      </w: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зависимого транспорта ионов и ухудшение энергетического обмена, повышена тромбопластическая активность, что способствует усилению агрегации тромбоцитов, гиперкоагуляции и тромбообразованию [1]. У больных с МС отмечено ускорение образования мелких и крупных эритроцитарных агрегатов и ухудшение деформируемости эритроцитов [3]. Повышенная агрегационная способность эритроцитов при МС тесно связана с гипергликемией и с повышенным образованием и отложением на базальной мембране липопротеидов с последующим изменением электрического и коагуляционного потенциала стенок сосудов. Это ведет, с одной стороны, к возникновению и прогрессированию ангиопатии, а с другой — к снижению скорости кровотока и созданию благоприятных условий для агрегации эритроцитов [1].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23714A" wp14:editId="6BBE16AC">
            <wp:extent cx="2571750" cy="1390650"/>
            <wp:effectExtent l="0" t="0" r="0" b="0"/>
            <wp:docPr id="3" name="Рисунок 3" descr="http://www.mif-ua.com/frmtext/MNJ/2009/6(28)/27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if-ua.com/frmtext/MNJ/2009/6(28)/27/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МС распространяется не только на сосудисто</w:t>
      </w: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тромбоцитарный гемостаз, но и на коагуляционное звено свертывающей системы крови. У больных с МС отмечается высокий уровень фибриногена [11, 13, 15], который, в свою очередь, повышает агрегацию эритроцитов. Выявлена положительная корреляция между активностью фактора VII и уровнем в крови холестерина и триглицеридов; вследствие повышения концентрации и активности ингибитора тканевого активатора плазминогена</w:t>
      </w: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1 (ИТАП</w:t>
      </w: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1) снижена активность фибринолитической системы.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МС вызывает изменения в системах гемореологии и гемостаза, что, с одной стороны, способствует нарушению кровообращения на микроциркуляторном уровне, приводящему к прогрессированию хронических цереброваскулярных заболеваний (ХЦВЗ), а с другой — приводит к гиперкоагуляции, гипофибринолизу и тромбозу крупных сосудов, способствуя развитию ишемического инсульта.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было обследовано 44 больных с ХЦВЗ, из которых 12 человек (27 %) перенесли острое нарушение мозгового кровообращения (НМК), 4 пациента (9 %) страдали транзиторными ишемическими атаками (ТИА), 28 больных (64 %) — дисциркуляторной </w:t>
      </w: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энцефалопатией (ДЭП) I–II стадии (рис. 1). У 22 из обследованных больных, согласно критериям АТР III, был диагностирован МС.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состояния гемореологии исследовались показатели вязкости крови (ВК) на различных скоростях сдвига, гематокрит, агрегация тромбоцитов по методу G. Born (1962) при воздействии индукторов агрегации — АДФ в концентрации 3 мкмоль/л и адреналина в концентрации 2 мкмоль/л мМ (АдрАТ). Агрегация и деформируемость эритроцитов определялись на лазерном оптическом ротационном клеточном анализаторе LORRCA.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анализа агрегационных свойств эритроцитов использовались такие показатели, как амплитуда агрегации (конечный размер агрегатов), индекс агрегации, отражающий скорость образования эритроцитарных агрегатов, g</w:t>
      </w: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диссоциации (прочность агрегатов), время образования одноцепочечных эритроцитарных агрегатов по типу «монетных столбиков» (Tf), время образования трехмерных эритроцитарных агрегатов (Ts). Анализ деформируемости эритроцитов проводился по двум показателям — предельному индексу деформируемости и времени возвращения эритроцита к исходной форме (Tr).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состояния гемостаза исследовали концентрацию в крови фибриногена, антитромбина III, ТАП и ИТАП</w:t>
      </w: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1, показатели МНО, протромбинового времени, протромбиновый индекс, фибринолитическую активность (ФА) и индекс фибринолиза.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обработка результатов проводилась с применением программ Microsoft Excel, а также пакета компьютерных прикладных программ Statistica, версия 6.0 (StatSoft, 2003).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клинической картине обследованных пациентов преобладали такие признаки ДЭП, как снижение памяти, концентрации внимания, головокружение, головная боль, шум в ушах, расстройства сна и т.д. Для объективизации выраженности неврологической симптоматики мы использовали индекс Barthel, отражающий качество жизни пациентов с ХЦВЗ (100 % — отсутствие симптоматики). Величина его оказалась незначительно выше в группе больных без МС — 67 % [55; 95] по сравнению с группой больных с МС — 62 % [53; 91].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исследовании агрегации эритроцитов более существенные нарушения были выявлены у больных с сопутствующим МС (табл. 2). Амплитуда агрегации, отражающая конечный размер эритроцитарных агрегатов, была достоверно выше у больных с МС. Примечательно, что в этой группе больных данный показатель превышал норму (до 10 усл.ед.) и составлял 13,4 [12,3; 15,5] усл.ед., тогда как у больных без МС он оказался равен 9,7 [8,5; 12,3] усл.ед. Прочность агрегатов, пропорциональная h</w:t>
      </w: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диссоциации, на фоне МС оказалась выше, чем без него. Показатель времени образования одноцепочечных эритроцитарных агрегатов в виде «монетных столбиков» Tf у всех больных был ниже нормы (2,25 с), но в большей степени он оказался снижен на фоне МС.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Деформируемость эритроцитов в нашем исследовании определялась двумя показателями — предельным индексом деформируемости и временем возвращения эритроцита к исходной форме Tr (табл. 2). Исходный уровень их у всех обследованных больных находился в области минимальных значений нормы и составлял на фоне МС 0,522 с [0,492; 0,537] и 87,13 с [81,2; 114,4], а без него — 0,529 с [0,5115; 0,549] и 92,31 с [76,215; 93,84] соответственно.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E170749" wp14:editId="647F4C71">
            <wp:extent cx="4857750" cy="3168650"/>
            <wp:effectExtent l="0" t="0" r="0" b="0"/>
            <wp:docPr id="4" name="Рисунок 4" descr="http://www.mif-ua.com/frmtext/MNJ/2009/6(28)/27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if-ua.com/frmtext/MNJ/2009/6(28)/27/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исследовании параметров гемостаза у больных с МС были выявлены более существенные нарушения по сравнению с больными без него — обращали на себя внимание достоверно (р &lt; 0,05) более высокие концентрации фибриногена и ИТАП</w:t>
      </w: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1.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 обследованных нами больных выявлялись существенные нарушения гемореологии и системы гемостаза, более выраженные на фоне сопутствующего МС. У больных с МС определялись большие размеры, прочность и скорость образования эритроцитарных агрегатов, что может быть значимым патогенетическим механизмом нарушения кровообращения на уровне микроциркуляции. В связи с этим в качестве антиагрегантной терапии для больных с МС наиболее целесообразным, с нашей точки зрения, было назначение препарата, обладающего выраженным влиянием на агрегацию эритроцитов.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широкого спектра антиагрегантов мы остановили свой выбор на пентоксифиллине (Трентале). Антитромботическое действие его обусловлено увеличением деформируемости (эластичности) эритроцитов, уменьшением их агрегационной активности, снижением вязкости и улучшением текучести крови, а также повышением содержания внутриклеточного цАМФ тромбоцитов и гладкомышечных клеток эндотелия [7, 12]. Вызываемое препаратом изменение пластичности клеточной мембраны эритроцитов обусловливает их лучшее проникновение в сосуды с уменьшенным просветом, приводя к повышению концентрации кислорода в тканях [6]. Препарат угнетает вазоконстрикцию в микроциркуляторном русле, способствует уменьшению уровня фибрина плазмы, стимулирует фибринолиз. В низких дозах пентоксифиллин действует также на циклооксигеназный путь, способствуя стимуляции синтеза и высвобождения простациклина и уменьшая продукцию тромбоксана [4]. Таким образом, при МС в связи с его многокомпонентностью назначение пентоксифиллина, обладающего многогранностью фармакологических эффектов, было наиболее целесообразно.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 пентоксифиллином (Тренталом) проводилась в течение 21 суток в дозе 100 мг ежедневно в виде внутривенных инфузий.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проведенной терапии отмечалось существенное регрессирование неврологической симптоматики — индекс Barthel увеличился с 62 % [53; 91] до 87 % [65; 97].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21</w:t>
      </w: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 сутки терапии было отмечено значительное улучшение гемореологических показателей (табл. 3). Отмечалось снижение показателей ВК на различных скоростях сдвига, уменьшение агрегации тромбоцитов, улучшение агрегации и деформируемости эритроцитов (рис. 2). Так, амплитуда агрегации снизилась на 5 %, g</w:t>
      </w: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диссоциации — на 16 %. Показатели деформируемости Tr и предельный индекс деформируемости после проведенной терапии составили 111,13 с [89,5; 129,7] и 0,554 с [0,489; 0,563] соответственно.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D487A1" wp14:editId="2E63D24D">
            <wp:extent cx="4857750" cy="3244850"/>
            <wp:effectExtent l="0" t="0" r="0" b="0"/>
            <wp:docPr id="5" name="Рисунок 5" descr="http://www.mif-ua.com/frmtext/MNJ/2009/6(28)/27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if-ua.com/frmtext/MNJ/2009/6(28)/27/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D90" w:rsidRPr="00D65D90" w:rsidRDefault="00D65D90" w:rsidP="00D65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F81473" wp14:editId="0F35866D">
            <wp:extent cx="2571750" cy="1651000"/>
            <wp:effectExtent l="0" t="0" r="0" b="6350"/>
            <wp:docPr id="6" name="Рисунок 6" descr="http://www.mif-ua.com/frmtext/MNJ/2009/6(28)/27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if-ua.com/frmtext/MNJ/2009/6(28)/27/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сравнении показателей гемостаза до и после лечения у больных с МС отмечалось уменьшение концентрации ИТАП</w:t>
      </w: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1 с 9,24 ед/мл [4,78; 18,36] до 8,66 ед/мл [3,98; 12,12] и увеличение на 75 % исходно сниженной ФА (табл. 3). Остальные показатели не претерпели существенных изменений.</w:t>
      </w:r>
    </w:p>
    <w:p w:rsidR="00D65D90" w:rsidRPr="00D65D90" w:rsidRDefault="00D65D90" w:rsidP="00D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нашем исследовании была показана высокая эффективность пентоксифиллина (Трентала) при лечении гемореологических и гемостатических нарушений у больных с ХЦВЗ на фоне МС. Терапия пентоксифиллином (Тренталом) приводит к значительному регрессированию неврологической симптоматики, улучшению гемореологических и гемостатических показателей. Уникальное воздействие пентоксифиллина на эритроцитарную агрегацию и деформируемость, являющихся при МС одними из ведущих причин нарушения гемореологии и, соответственно, </w:t>
      </w:r>
      <w:r w:rsidRPr="00D65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микроциркуляции, позволяет говорить о необходимости назначения пентоксифиллина в качестве препарата выбора при лечении больных ХЦВЗ с сопутствующим МС.</w:t>
      </w:r>
    </w:p>
    <w:p w:rsidR="00D65D90" w:rsidRPr="00D65D90" w:rsidRDefault="00D65D90" w:rsidP="00D65D9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D65D90" w:rsidRPr="00D65D90" w:rsidRDefault="00D65D90" w:rsidP="00D65D90">
      <w:pPr>
        <w:spacing w:after="24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D65D90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Список литературы</w:t>
      </w:r>
    </w:p>
    <w:p w:rsidR="00D65D90" w:rsidRPr="00D65D90" w:rsidRDefault="00D65D90" w:rsidP="00D65D90">
      <w:pPr>
        <w:spacing w:before="165" w:after="165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D65D90">
        <w:rPr>
          <w:rFonts w:ascii="Verdana" w:eastAsia="Times New Roman" w:hAnsi="Verdana" w:cs="Times New Roman"/>
          <w:sz w:val="17"/>
          <w:szCs w:val="17"/>
          <w:lang w:eastAsia="ru-RU"/>
        </w:rPr>
        <w:t> 1. Альтшулер М.Ю. Метаболический синдром — особенности инсулиновой секреции и механизмы формирования атеротромбогенного потенциала: Дис… докт. мед. наук. — М., 2002.</w:t>
      </w:r>
    </w:p>
    <w:p w:rsidR="00D65D90" w:rsidRPr="00D65D90" w:rsidRDefault="00D65D90" w:rsidP="00D65D9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D65D90">
        <w:rPr>
          <w:rFonts w:ascii="Verdana" w:eastAsia="Times New Roman" w:hAnsi="Verdana" w:cs="Times New Roman"/>
          <w:sz w:val="17"/>
          <w:szCs w:val="17"/>
          <w:lang w:eastAsia="ru-RU"/>
        </w:rPr>
        <w:t>2. Леонова М.В. // Кардиология. — 1990. — Т. 30, № 4. — C. 107.</w:t>
      </w:r>
    </w:p>
    <w:p w:rsidR="00D65D90" w:rsidRPr="00D65D90" w:rsidRDefault="00D65D90" w:rsidP="00D65D9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D65D90">
        <w:rPr>
          <w:rFonts w:ascii="Verdana" w:eastAsia="Times New Roman" w:hAnsi="Verdana" w:cs="Times New Roman"/>
          <w:sz w:val="17"/>
          <w:szCs w:val="17"/>
          <w:lang w:eastAsia="ru-RU"/>
        </w:rPr>
        <w:t>3. Орлов С.В. и др. // Анн. клин. и эксперимент. неврол. — 2007. — № 3. — С. 5.</w:t>
      </w:r>
    </w:p>
    <w:p w:rsidR="00D65D90" w:rsidRPr="00D65D90" w:rsidRDefault="00D65D90" w:rsidP="00D65D9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D65D90">
        <w:rPr>
          <w:rFonts w:ascii="Verdana" w:eastAsia="Times New Roman" w:hAnsi="Verdana" w:cs="Times New Roman"/>
          <w:sz w:val="17"/>
          <w:szCs w:val="17"/>
          <w:lang w:eastAsia="ru-RU"/>
        </w:rPr>
        <w:t>4. Суслина З.А. и др. Ишемический инсульт: кровь, сосудистая стенка и антитромботическая терапия. — М., 2005.</w:t>
      </w:r>
    </w:p>
    <w:p w:rsidR="00D65D90" w:rsidRPr="00D65D90" w:rsidRDefault="00D65D90" w:rsidP="00D65D9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ru-RU"/>
        </w:rPr>
      </w:pPr>
      <w:r w:rsidRPr="00D65D90">
        <w:rPr>
          <w:rFonts w:ascii="Verdana" w:eastAsia="Times New Roman" w:hAnsi="Verdana" w:cs="Times New Roman"/>
          <w:sz w:val="17"/>
          <w:szCs w:val="17"/>
          <w:lang w:val="en-US" w:eastAsia="ru-RU"/>
        </w:rPr>
        <w:t>5. Alessi M.C. et al. // Diabetes. — 1997. — Vol. 46. — P. 860.</w:t>
      </w:r>
    </w:p>
    <w:p w:rsidR="00D65D90" w:rsidRPr="00D65D90" w:rsidRDefault="00D65D90" w:rsidP="00D65D9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ru-RU"/>
        </w:rPr>
      </w:pPr>
      <w:r w:rsidRPr="00D65D90">
        <w:rPr>
          <w:rFonts w:ascii="Verdana" w:eastAsia="Times New Roman" w:hAnsi="Verdana" w:cs="Times New Roman"/>
          <w:sz w:val="17"/>
          <w:szCs w:val="17"/>
          <w:lang w:val="en-US" w:eastAsia="ru-RU"/>
        </w:rPr>
        <w:t>6. Angelkort B. et al. // Curr. Med. Res. Opin. — 1979. — Vol. 6. — P. 255.</w:t>
      </w:r>
    </w:p>
    <w:p w:rsidR="00D65D90" w:rsidRPr="00D65D90" w:rsidRDefault="00D65D90" w:rsidP="00D65D9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ru-RU"/>
        </w:rPr>
      </w:pPr>
      <w:r w:rsidRPr="00D65D90">
        <w:rPr>
          <w:rFonts w:ascii="Verdana" w:eastAsia="Times New Roman" w:hAnsi="Verdana" w:cs="Times New Roman"/>
          <w:sz w:val="17"/>
          <w:szCs w:val="17"/>
          <w:lang w:val="en-US" w:eastAsia="ru-RU"/>
        </w:rPr>
        <w:t>7. Dettelbach H.R., Aviado D.M. // J. Clin. Pharmacol. — 1985. — Vol. 25. — P. 8.</w:t>
      </w:r>
    </w:p>
    <w:p w:rsidR="00D65D90" w:rsidRPr="00D65D90" w:rsidRDefault="00D65D90" w:rsidP="00D65D9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ru-RU"/>
        </w:rPr>
      </w:pPr>
      <w:r w:rsidRPr="00D65D90">
        <w:rPr>
          <w:rFonts w:ascii="Verdana" w:eastAsia="Times New Roman" w:hAnsi="Verdana" w:cs="Times New Roman"/>
          <w:sz w:val="17"/>
          <w:szCs w:val="17"/>
          <w:lang w:val="en-US" w:eastAsia="ru-RU"/>
        </w:rPr>
        <w:t>8. Expert Panel on Detection, Evaluation, and Treatment of High Blood Cholesterol in Adults // JAMA. — 2001. — Vol. 285. — P. 2486.</w:t>
      </w:r>
    </w:p>
    <w:p w:rsidR="00D65D90" w:rsidRPr="00D65D90" w:rsidRDefault="00D65D90" w:rsidP="00D65D9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ru-RU"/>
        </w:rPr>
      </w:pPr>
      <w:r w:rsidRPr="00D65D90">
        <w:rPr>
          <w:rFonts w:ascii="Verdana" w:eastAsia="Times New Roman" w:hAnsi="Verdana" w:cs="Times New Roman"/>
          <w:sz w:val="17"/>
          <w:szCs w:val="17"/>
          <w:lang w:val="en-US" w:eastAsia="ru-RU"/>
        </w:rPr>
        <w:t>9. Haffner S.M. et al. // Hypertension. — 1992. — Vol. 20. — P. 38.</w:t>
      </w:r>
    </w:p>
    <w:p w:rsidR="00D65D90" w:rsidRPr="00D65D90" w:rsidRDefault="00D65D90" w:rsidP="00D65D9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ru-RU"/>
        </w:rPr>
      </w:pPr>
      <w:r w:rsidRPr="00D65D90">
        <w:rPr>
          <w:rFonts w:ascii="Verdana" w:eastAsia="Times New Roman" w:hAnsi="Verdana" w:cs="Times New Roman"/>
          <w:sz w:val="17"/>
          <w:szCs w:val="17"/>
          <w:lang w:val="en-US" w:eastAsia="ru-RU"/>
        </w:rPr>
        <w:t>10. Henefeld M., Leonhardt W. // Deutsch Ges. Wes. — 1980. — Vol. 36. — P. 545.</w:t>
      </w:r>
    </w:p>
    <w:p w:rsidR="00D65D90" w:rsidRPr="00D65D90" w:rsidRDefault="00D65D90" w:rsidP="00D65D9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ru-RU"/>
        </w:rPr>
      </w:pPr>
      <w:r w:rsidRPr="00D65D90">
        <w:rPr>
          <w:rFonts w:ascii="Verdana" w:eastAsia="Times New Roman" w:hAnsi="Verdana" w:cs="Times New Roman"/>
          <w:sz w:val="17"/>
          <w:szCs w:val="17"/>
          <w:lang w:val="en-US" w:eastAsia="ru-RU"/>
        </w:rPr>
        <w:t>11. Khodabandehlou T., Le Devehat C. // J. Mal. Vasc. — 1994. — Vol. 19. — P. 190.</w:t>
      </w:r>
    </w:p>
    <w:p w:rsidR="00D65D90" w:rsidRPr="00D65D90" w:rsidRDefault="00D65D90" w:rsidP="00D65D9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ru-RU"/>
        </w:rPr>
      </w:pPr>
      <w:r w:rsidRPr="00D65D90">
        <w:rPr>
          <w:rFonts w:ascii="Verdana" w:eastAsia="Times New Roman" w:hAnsi="Verdana" w:cs="Times New Roman"/>
          <w:sz w:val="17"/>
          <w:szCs w:val="17"/>
          <w:lang w:val="en-US" w:eastAsia="ru-RU"/>
        </w:rPr>
        <w:t>12. Kiesewetter H. et al. // Klin. Wochenschr. — 1986. — Vol. 64. — P. 653.</w:t>
      </w:r>
    </w:p>
    <w:p w:rsidR="00D65D90" w:rsidRPr="00D65D90" w:rsidRDefault="00D65D90" w:rsidP="00D65D9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ru-RU"/>
        </w:rPr>
      </w:pPr>
      <w:r w:rsidRPr="00D65D90">
        <w:rPr>
          <w:rFonts w:ascii="Verdana" w:eastAsia="Times New Roman" w:hAnsi="Verdana" w:cs="Times New Roman"/>
          <w:sz w:val="17"/>
          <w:szCs w:val="17"/>
          <w:lang w:val="en-US" w:eastAsia="ru-RU"/>
        </w:rPr>
        <w:t xml:space="preserve">13. Masuda </w:t>
      </w:r>
      <w:r w:rsidRPr="00D65D90">
        <w:rPr>
          <w:rFonts w:ascii="Verdana" w:eastAsia="Times New Roman" w:hAnsi="Verdana" w:cs="Times New Roman"/>
          <w:sz w:val="17"/>
          <w:szCs w:val="17"/>
          <w:lang w:eastAsia="ru-RU"/>
        </w:rPr>
        <w:t>Т</w:t>
      </w:r>
      <w:r w:rsidRPr="00D65D90">
        <w:rPr>
          <w:rFonts w:ascii="Verdana" w:eastAsia="Times New Roman" w:hAnsi="Verdana" w:cs="Times New Roman"/>
          <w:sz w:val="17"/>
          <w:szCs w:val="17"/>
          <w:lang w:val="en-US" w:eastAsia="ru-RU"/>
        </w:rPr>
        <w:t>. et al. // Amer. Heart J. — 1992. — Vol. 124. — P. 314.</w:t>
      </w:r>
    </w:p>
    <w:p w:rsidR="00D65D90" w:rsidRPr="00D65D90" w:rsidRDefault="00D65D90" w:rsidP="00D65D9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ru-RU"/>
        </w:rPr>
      </w:pPr>
      <w:r w:rsidRPr="00D65D90">
        <w:rPr>
          <w:rFonts w:ascii="Verdana" w:eastAsia="Times New Roman" w:hAnsi="Verdana" w:cs="Times New Roman"/>
          <w:sz w:val="17"/>
          <w:szCs w:val="17"/>
          <w:lang w:val="en-US" w:eastAsia="ru-RU"/>
        </w:rPr>
        <w:t>14. Reaven G.M. // Diabetes. — 1988. — Vol. 37. — P. 1595.</w:t>
      </w:r>
    </w:p>
    <w:p w:rsidR="00D65D90" w:rsidRPr="00D65D90" w:rsidRDefault="00D65D90" w:rsidP="00D65D90">
      <w:pPr>
        <w:spacing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D65D90">
        <w:rPr>
          <w:rFonts w:ascii="Verdana" w:eastAsia="Times New Roman" w:hAnsi="Verdana" w:cs="Times New Roman"/>
          <w:sz w:val="17"/>
          <w:szCs w:val="17"/>
          <w:lang w:val="en-US" w:eastAsia="ru-RU"/>
        </w:rPr>
        <w:t xml:space="preserve">15. Rosenson R. et al. // Arterioscler. </w:t>
      </w:r>
      <w:r w:rsidRPr="00D65D90">
        <w:rPr>
          <w:rFonts w:ascii="Verdana" w:eastAsia="Times New Roman" w:hAnsi="Verdana" w:cs="Times New Roman"/>
          <w:sz w:val="17"/>
          <w:szCs w:val="17"/>
          <w:lang w:eastAsia="ru-RU"/>
        </w:rPr>
        <w:t>Thromb. — 1994. — Vol. 14. — P. 1928.</w:t>
      </w:r>
    </w:p>
    <w:p w:rsidR="00E96B52" w:rsidRDefault="009B2850"/>
    <w:sectPr w:rsidR="00E96B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50" w:rsidRDefault="009B2850" w:rsidP="00D65D90">
      <w:pPr>
        <w:spacing w:after="0" w:line="240" w:lineRule="auto"/>
      </w:pPr>
      <w:r>
        <w:separator/>
      </w:r>
    </w:p>
  </w:endnote>
  <w:endnote w:type="continuationSeparator" w:id="0">
    <w:p w:rsidR="009B2850" w:rsidRDefault="009B2850" w:rsidP="00D6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90" w:rsidRDefault="00D65D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12618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65D90" w:rsidRDefault="00D65D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65D90" w:rsidRDefault="00D65D9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90" w:rsidRDefault="00D65D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50" w:rsidRDefault="009B2850" w:rsidP="00D65D90">
      <w:pPr>
        <w:spacing w:after="0" w:line="240" w:lineRule="auto"/>
      </w:pPr>
      <w:r>
        <w:separator/>
      </w:r>
    </w:p>
  </w:footnote>
  <w:footnote w:type="continuationSeparator" w:id="0">
    <w:p w:rsidR="009B2850" w:rsidRDefault="009B2850" w:rsidP="00D65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90" w:rsidRDefault="00D65D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90" w:rsidRDefault="00D65D9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90" w:rsidRDefault="00D65D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90"/>
    <w:rsid w:val="003E78F5"/>
    <w:rsid w:val="006E4204"/>
    <w:rsid w:val="009B2850"/>
    <w:rsid w:val="00D6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D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D90"/>
  </w:style>
  <w:style w:type="paragraph" w:styleId="a7">
    <w:name w:val="footer"/>
    <w:basedOn w:val="a"/>
    <w:link w:val="a8"/>
    <w:uiPriority w:val="99"/>
    <w:unhideWhenUsed/>
    <w:rsid w:val="00D6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D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D90"/>
  </w:style>
  <w:style w:type="paragraph" w:styleId="a7">
    <w:name w:val="footer"/>
    <w:basedOn w:val="a"/>
    <w:link w:val="a8"/>
    <w:uiPriority w:val="99"/>
    <w:unhideWhenUsed/>
    <w:rsid w:val="00D6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94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000000"/>
            <w:right w:val="none" w:sz="0" w:space="0" w:color="auto"/>
          </w:divBdr>
        </w:div>
        <w:div w:id="12314298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000000"/>
            <w:right w:val="none" w:sz="0" w:space="0" w:color="auto"/>
          </w:divBdr>
          <w:divsChild>
            <w:div w:id="15696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Rozhdestvenskaja O.A.</dc:creator>
  <cp:lastModifiedBy>Rozhdestvenskaja O.A.</cp:lastModifiedBy>
  <cp:revision>1</cp:revision>
  <dcterms:created xsi:type="dcterms:W3CDTF">2017-12-04T10:01:00Z</dcterms:created>
  <dcterms:modified xsi:type="dcterms:W3CDTF">2017-12-04T10:02:00Z</dcterms:modified>
</cp:coreProperties>
</file>