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6C" w:rsidRPr="007A776C" w:rsidRDefault="007A776C" w:rsidP="007A776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A776C"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 wp14:anchorId="5A8EAA27" wp14:editId="2E2279DA">
            <wp:extent cx="704850" cy="419100"/>
            <wp:effectExtent l="0" t="0" r="0" b="0"/>
            <wp:docPr id="1" name="Рисунок 1" descr="Издательский дом &quot;Заславски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дательский дом &quot;Заславский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76C" w:rsidRPr="007A776C" w:rsidRDefault="007A776C" w:rsidP="007A776C">
      <w:pPr>
        <w:spacing w:before="375" w:after="33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</w:pPr>
      <w:r w:rsidRPr="007A776C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Международный неврологический журнал 3(25) 2009</w:t>
      </w:r>
    </w:p>
    <w:p w:rsidR="007A776C" w:rsidRPr="007A776C" w:rsidRDefault="007A776C" w:rsidP="007A776C">
      <w:pPr>
        <w:spacing w:before="375" w:after="33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</w:pPr>
      <w:r w:rsidRPr="007A776C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Многоцентровая программа по оценке эффективности и безопасности новой схемы терапии больных с хронической цереброваскулярной недостаточностью</w:t>
      </w:r>
    </w:p>
    <w:p w:rsidR="007A776C" w:rsidRPr="007A776C" w:rsidRDefault="007A776C" w:rsidP="007A776C">
      <w:pPr>
        <w:spacing w:after="24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A776C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Авторы:</w:t>
      </w:r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spellStart"/>
      <w:proofErr w:type="gram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Скоромец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А.А., акад. РАМН, д.м.н., зав. каф.(1);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Танашян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М.М., д.м.н., проф.(2);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Чуканова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Е.И., д.м.н., доц. каф.(3); Петрова Е.А., к.м.н., доц. каф.(3); Спирин Н.Н., д.м.н., проф.(4); Никонов А.А., к.м.н., проф. каф.(3);</w:t>
      </w:r>
      <w:proofErr w:type="gram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gram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Повереннова И.Е., д.м.н., проф., зав. каф.(5); Левин Я.И., д.м.н., проф. каф.(6) (1)Санкт-Петербургский государственный медицинский университет им. акад. И.П. Павлова; (2)Научный центр неврологии РАМН, г. Москва; (3)Российский государственный медицинский университет, г. Москва; (4)Ярославская государственная медицинская академия; (5)Самарский государственный медицинский университет;</w:t>
      </w:r>
      <w:proofErr w:type="gram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(6)Московская медицинская академия им. М.И. Сеченова </w:t>
      </w:r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br/>
      </w:r>
      <w:r w:rsidRPr="007A776C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Рубрики:</w:t>
      </w:r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Неврология </w:t>
      </w:r>
    </w:p>
    <w:p w:rsidR="007A776C" w:rsidRPr="007A776C" w:rsidRDefault="007A776C" w:rsidP="007A776C">
      <w:pPr>
        <w:spacing w:after="24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A776C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Резюме</w:t>
      </w:r>
    </w:p>
    <w:p w:rsidR="007A776C" w:rsidRPr="007A776C" w:rsidRDefault="007A776C" w:rsidP="007A776C">
      <w:pPr>
        <w:spacing w:before="165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Проведена оценка комплексной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мультицентровой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проспективной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несравнительной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программы по изучению эффективности и безопасности новой схемы терапии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Кавинтоном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больных с хронической цереброваскулярной недостаточностью. Наблюдались 159 пациентов (46 мужчин и 113 женщин) в возрасте от 35 до 65 лет. Лечение начиналось с внутривенных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инфузий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препарата в течение 7 дней по схеме: 20, 30, 40, 50, 50, 50 и 50 мг раствора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в разведении на 500 мл физиологического раствора с последующим пероральным приемом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форте по 10 мг 3 раза в день в течение 11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нед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. Первичным параметром оценки эффективности была краткая шкала оценки психического статуса (MMSE), </w:t>
      </w:r>
      <w:proofErr w:type="gram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вторичными</w:t>
      </w:r>
      <w:proofErr w:type="gram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— шкалы качества жизни (SF-36) и общего клинического впечатления (CGIC-PGIC). Отмечена достоверная разница выраженности значений по шкалам MMSE и SF-36 до и после окончания курса лечения, а также по шкале CGIC-PGIC на 8-й и 90-й дни наблюдения. Парентеральное и пероральное применение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хорошо переносится и имеет благоприятный профиль безопасности.</w:t>
      </w:r>
    </w:p>
    <w:p w:rsidR="007A776C" w:rsidRPr="007A776C" w:rsidRDefault="007A776C" w:rsidP="007A776C">
      <w:pPr>
        <w:spacing w:after="24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A776C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Ключевые слова</w:t>
      </w:r>
    </w:p>
    <w:p w:rsidR="007A776C" w:rsidRPr="007A776C" w:rsidRDefault="007A776C" w:rsidP="007A776C">
      <w:pPr>
        <w:spacing w:before="165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 xml:space="preserve">хроническая цереброваскулярная недостаточность, </w:t>
      </w:r>
      <w:proofErr w:type="spellStart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Кавинтон</w:t>
      </w:r>
      <w:proofErr w:type="spellEnd"/>
      <w:r w:rsidRPr="007A776C">
        <w:rPr>
          <w:rFonts w:ascii="Verdana" w:eastAsia="Times New Roman" w:hAnsi="Verdana" w:cs="Times New Roman"/>
          <w:sz w:val="17"/>
          <w:szCs w:val="17"/>
          <w:lang w:eastAsia="ru-RU"/>
        </w:rPr>
        <w:t>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Проблема инсульта остается одной из самых острых в современном здравоохранении, что связано со значительной частотой развития данной патологии и значимыми последствиями для пациентов и общества (высокий уровень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инвалидизации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смертности). Значимость инсульта как </w:t>
      </w:r>
      <w:proofErr w:type="gram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медико-социальной</w:t>
      </w:r>
      <w:proofErr w:type="gram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проблемы растет с каждым годом, что связано со старением населения, а также с увеличением в популяции числа людей с факторами риска сердечно-сосудистых заболеваний. В 1998 г. в мире от инсульта умерли 5,1 </w:t>
      </w:r>
      <w:proofErr w:type="gram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млн</w:t>
      </w:r>
      <w:proofErr w:type="gram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человек и у 15 млн был зарегистрирован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несмертельный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инсульт. Ожидаемый к 2020 г. уровень смертности от инсульта, по прогнозам ВОЗ, составит 7,6 </w:t>
      </w:r>
      <w:proofErr w:type="gram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млн</w:t>
      </w:r>
      <w:proofErr w:type="gram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человек [1, 2].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В странах Западной Европы, Японии, США в последние десятилетия отмечено снижение частоты развития инсульта, при этом он стал протекать менее тяжело. Причины этого не совсем ясны, однако имеются предположения, что они лежат в снижении распространенности артериальной гипертензии (АГ) в общей популяции, отказе от курения и употребления жирной пищи [2, 3].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Россия выделяется среди промышленно развитых стран мира высокой распространенностью инсульта и значительными показателями связанной с ним смертности. Российская Федерация занимает 2-е место в мире по смертности от инсульта. Постинсультная летальность в России составляет 1 случай на 1000 населения в год, что в 3–8 раз выше, чем, к примеру, в США, Франции и Швейцарии [4]. Более того, в отличие от стран Западной Европы, Японии, США, Австралии в нашей стране смертность от инсульта не снижается. </w:t>
      </w:r>
      <w:proofErr w:type="gram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Связанная</w:t>
      </w:r>
      <w:proofErr w:type="gram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инсультом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инвалидизация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России занимает 1-е место среди всех причин первичной инвалидности и составляет 3,2 на 10 000 населения [5, 6].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развитии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гипоперфузии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мозге выявляются уменьшение содержания кислорода и глюкозы в крови, сдвиг метаболизма глюкозы в сторону анаэробного гликолиза,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лактат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-ацидоз,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гиперосмолярность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капиллярный стаз, склонность к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тромбообразованию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деполяризация </w:t>
      </w: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клеточных мембран, активация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микроглии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которая начинает вырабатывать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нейротоксины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, что наряду с другими патофизиологическими процессами приводит к гибели клеток [1, 7].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 сегодняшний день установлены основные механизмы последовательных изменений функционального состояния и морфологии ткани мозга, возникающих на фоне ишемии [5, 8, 9]. Изучение морфологических и биохимических изменений в центральной нервной системе при цереброваскулярной недостаточности позволило установить, что одной из составляющих патогенеза повреждения мозговой ткани является трофическая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дисрегуляция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приводящая к инициации каскада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патобиохимических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реакций, которые ведут к гибели нейронов по механизмам некроза и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апоптоза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[10–12]. Считается, что в регуляции клеточного гомеостаза зрелой мозговой ткани ключевую роль играет процесс программированной гибели нейронов [1, 13]. Имеются данные о роли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апоптоза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поражении нервной системы в случаях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безынсультного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течения цереброваскулярного заболевания и при проявляющейся обратимым неврологическим дефицитом кратковременной ишемии [14–16].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Особое внимание уделяется поиску препаратов, способных предупредить возникновение или замедлить прогрессирование уже имеющейся патологии мозга. В работах отечественных и зарубежных авторов [17–19] доказано, что применение препаратов, улучшающих кровоснабжение мозга, обладающих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нейропротективными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свойствами, способно предотвратить или уменьшить повреждение мозга.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Одним из препаратов, широко применяемых в неврологической практике, является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Результаты экспериментальных и клинических исследований позволили выявить молекулярные механизмы терапевтической активности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. Оказалось, что препарат способен оказывать влияние на состояние мозгового метаболизма, макр</w:t>
      </w:r>
      <w:proofErr w:type="gram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о-</w:t>
      </w:r>
      <w:proofErr w:type="gram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микроциркуляции головного мозга [18, 20, 21].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увеличивает утилизацию глюкозы и кислорода тканями мозга, улучшая переносимость гипоксии, переводит обмен глюкозы на энергетически более выгодный аэробный путь, увеличивает концентрацию АТФ, усиливает внутримозговой обмен норадреналина и серотонина, что обеспечивает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нейропротективный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эффект [4, 22, 23]. Установлены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мембраностабилизирующий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эффект препарата, его стимулирующее действие на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норадренергическую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систему восходящей ретикулярной формации [21, 24].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ингибирует агрегацию тромбоцитов, снижает патологически увеличенную вязкость крови, нормализует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деформируемость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эритроцитов, способствует тканевому транспорту кислорода [25]. Помимо этого,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избирательно повышает мозговой кровоток, уменьшая периферическое сопротивление мозговых сосудов без воздействия на системное кровообращение, и не вызывает феномена «обкрадывания» [26, 27].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положительно влияет на способность к </w:t>
      </w: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обучению и сохранению информации. Отмечено достоверное улучшение кратковременной памяти после перорального приема 40 мг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сутки [23, 25]. Одновременно облегчается процесс обучения, что позволяет рассматривать препарат в ряду так называемых когнитивных усилителей (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ноотропов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 [24, 28]. Получены обнадеживающие данные о положительном эффекте применения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пациентов с когнитивными нарушениями [8]. Применение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оказывает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дозозависимый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эффект, что наряду с хорошей переносимостью обеспечивает широкий терапевтический диапазон действия препарата.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Целью </w:t>
      </w: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работы явилось исследование эффективности и безопасности курса лечения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Кавинтоном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его влияния на выраженность когнитивных нарушений и качество жизни у больных с хронической цереброваскулярной недостаточностью.</w:t>
      </w:r>
    </w:p>
    <w:p w:rsidR="007A776C" w:rsidRPr="007A776C" w:rsidRDefault="007A776C" w:rsidP="007A776C">
      <w:pPr>
        <w:spacing w:after="180" w:line="240" w:lineRule="auto"/>
        <w:outlineLvl w:val="1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7A776C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Материал и методы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Исследование проводилось в 7 центрах Москвы, Санкт-Петербурга, Ярославля и Самары.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Наблюдались 159 пациентов (46 мужчин и 113 женщин) с хронической цереброваскулярной </w:t>
      </w:r>
      <w:proofErr w:type="gram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недостаточностью в возрасте</w:t>
      </w:r>
      <w:proofErr w:type="gram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 35 до 65 лет, находившихся на амбулаторном лечении и получавших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течение 1-й недели внутривенно капельно по 20, 30, 40, 50, 50, 50, 50 мг в сутки в разведении на 500 мл физиологического раствора. В дальнейшем пациенты получали перорально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форте по 10 мг 3 раза в день в течение 11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нед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Помимо этого больные получали максимально унифицированную терапию, не включающую других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ноотропов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препаратов, влияющих на мозговое кровообращение.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Критериями включения в исследование явились: верифицированное цереброваскулярное заболевание, подтвержденное результатами КТ/МРТ с показателями по краткой шкале оценки психического статуса (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Mini-mental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state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examination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— MMSE) от 24 до 28 баллов и индексом массы тела от 18 до 35 кг/м</w:t>
      </w:r>
      <w:proofErr w:type="gramStart"/>
      <w:r w:rsidRPr="007A776C">
        <w:rPr>
          <w:rFonts w:ascii="Verdana" w:eastAsia="Times New Roman" w:hAnsi="Verdana" w:cs="Times New Roman"/>
          <w:sz w:val="18"/>
          <w:szCs w:val="18"/>
          <w:vertAlign w:val="superscript"/>
          <w:lang w:eastAsia="ru-RU"/>
        </w:rPr>
        <w:t>2</w:t>
      </w:r>
      <w:proofErr w:type="gram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Критериями исключения были: острое нарушение мозгового кровообращения; прием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 месяц до включения в исследование; лечение препаратами, влияющими на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мнестико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-интеллектуальные функции за 2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нед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до включения в исследование;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некорригируемая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АГ (систолическое АД &gt; 180 мм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рт.ст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и диастолическое </w:t>
      </w: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br/>
        <w:t xml:space="preserve">&gt; 100 мм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рт.ст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.); увеличение интервала QT более 500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мс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; тяжелая сопутствующая соматическая патология, приводящая к клинически значимым изменениям данных клинико-лабораторных исследований.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С целью детальной оценки неврологического статуса использовались стандартные опросники MMSE, CGIC-PGIC (шкалы оценки общего клинического впечатления и общего впечатления пациента об изменениях состояния), SF-36 — многоцелевой опросник для определения качества жизни [16]. Неврологический статус пациентов оценивался до начала исследования, в конце 1-й недели наблюдения и в конце курса лечения (90-й день).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Безопасность лечения оценивалась посредством наблюдений за изменениями в состоянии больных, основных показателей жизнедеятельности организма, показателей ЭКГ и результатов лабораторных исследований; проводился анализ неблагоприятных явлений.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Статистический анализ выполнялся с использованием программного продукта SAS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System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for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Windows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(выпуск 9.1 TS) специалистами группы биологической статистики компании «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Гедеон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Рихтер». Все статистические тесты оценивались при уровне значимости в 95 % (p = 0,05).</w:t>
      </w:r>
    </w:p>
    <w:p w:rsidR="007A776C" w:rsidRPr="007A776C" w:rsidRDefault="007A776C" w:rsidP="007A776C">
      <w:pPr>
        <w:spacing w:after="180" w:line="240" w:lineRule="auto"/>
        <w:outlineLvl w:val="1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7A776C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Результаты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На фоне лечения зарегистрирована статистически значимая разница между начальным и конечным уровнем (90-е сутки) по шкале MMSE (p &lt; 0,0001), улучшение в среднем составило 2 пункта (табл. 1).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При анализе динамики показателей качества жизни (опросник SF-36) была отмечена статистически достоверная положительная динамика (</w:t>
      </w:r>
      <w:proofErr w:type="gram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р</w:t>
      </w:r>
      <w:proofErr w:type="gram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&lt; 0,0001) по пунктам «общее состояние здоровья», «психическое здоровье» и «жизненная активность» (табл. 2). Динамика балльной оценки по пункту «ролевое функционирование, обусловленное эмоциональным и физическим состоянием», также выявила высокую эффективность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. Из всех пунктов опросника SF-36 наименьшие показатели эффективности получены по пункту «интенсивность боли».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Анализ результатов оценки общего клинического состояния больных позволил выявить достоверную динамику как по шкале CGIC (</w:t>
      </w:r>
      <w:proofErr w:type="gram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р</w:t>
      </w:r>
      <w:proofErr w:type="gram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&lt; 0,0001), так и по шкале PGIC (р &lt; 0,0001). Степень позитивных изменений для шкалы клинического состояния, оцениваемого врачом, соответствовала степени изменений по шкале самооценки пациента, что показывает высокое соответствие динамики субъективных и объективных параметров исследования (табл. 3).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Безопасность лечения и нежелательные явления.</w:t>
      </w: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 14 (8,8 %) пациентов, вошедших в исследование, отмечены неблагоприятные эффекты. Наиболее частыми были жалобы на головную боль, головокружение несистемного характера (20 %), тошноту, тахикардию, нарушения координации, появление высыпаний на коже. В 3 случаях лечение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Кавинтоном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было прекращено из-за головной боли, головокружения, аллергической реакции.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При анализе данных лабораторно-инструментальных методов исследования не отмечено клинически значимых изменений. Показатели ЭКГ и данные лабораторных исследований были стабильными в течение всего периода исследования. Большинство неблагоприятных явлений относились к легкой и средней степени тяжести и не требовали дополнительного назначения лекарственной терапии.</w:t>
      </w:r>
    </w:p>
    <w:p w:rsidR="007A776C" w:rsidRPr="007A776C" w:rsidRDefault="007A776C" w:rsidP="007A776C">
      <w:pPr>
        <w:spacing w:after="180" w:line="240" w:lineRule="auto"/>
        <w:outlineLvl w:val="1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7A776C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Обсуждение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Успехи в лечении больных с цереброваскулярной патологией обусловлены внедрением новых фармакологических средств и разработкой новых принципов применения хорошо известных лекарственных препаратов.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Клинический опыт использования в неврологии препаратов с вазоактивными и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ноотропными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свойствами позволил сформулировать некоторые практические рекомендации относительно предпочтительного использования препаратов с доказанными множественными эффектами, а также длительности терапевтических курсов и оптимальных терапевтических дозировок [29–31]. Существующая тенденция назначения вазоактивных и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ноотропных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препаратов в минимальных терапевтических дозах и короткими курсами делает терапию либо неэффективной, либо эффективной только у отдельных категорий больных, что способствует формированию скептического отношения к такому направлению лечения в целом.</w:t>
      </w:r>
    </w:p>
    <w:p w:rsidR="007A776C" w:rsidRPr="007A776C" w:rsidRDefault="007A776C" w:rsidP="007A776C">
      <w:pPr>
        <w:spacing w:before="165" w:after="165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2400B1A3" wp14:editId="49AB7482">
            <wp:extent cx="6324600" cy="5695950"/>
            <wp:effectExtent l="0" t="0" r="0" b="0"/>
            <wp:docPr id="2" name="Рисунок 2" descr="http://www.mif-ua.com/frmtext/MNJ/2009/3(25)2009/29/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f-ua.com/frmtext/MNJ/2009/3(25)2009/29/29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76C" w:rsidRPr="007A776C" w:rsidRDefault="007A776C" w:rsidP="007A776C">
      <w:pPr>
        <w:spacing w:before="165" w:after="165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inline distT="0" distB="0" distL="0" distR="0" wp14:anchorId="3C7FFDE6" wp14:editId="153C2A83">
            <wp:extent cx="6324600" cy="1574800"/>
            <wp:effectExtent l="0" t="0" r="0" b="6350"/>
            <wp:docPr id="3" name="Рисунок 3" descr="http://www.mif-ua.com/frmtext/MNJ/2009/3(25)2009/29/2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f-ua.com/frmtext/MNJ/2009/3(25)2009/29/29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Результаты проведенного исследования в целом подтвердили данные клинических наблюдений и некоторых клинических исследований о преимуществах использования более высоких доз препарата в отношении влияния на степень когнитивных нарушений, основные клинические проявления и качество жизни пациентов с хроническими цереброваскулярными расстройствами. Особенностью предлагаемой схемы терапии является комбинирование в течение 3-месячного курса лечения парентеральной и пероральной форм препарата на различных этапах терапии. В I фазе лечения в течение 1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нед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предлагается наращивание дозы препарата от 20 до 50 мг в сутки с последующим пероральным применением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форте по 30 мг в сутки в течение 11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нед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. Применяемая схема позволяет добиться очевидного терапевтического эффекта как по субъективным характеристикам, так и по ряду объективных показателей.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В процессе наблюдения за больными, проходящими лечение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Кавинтоном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, установлено статистически значимое нарастание суммарного балла по шкале MMSE, которое в среднем в динамике составило около 2 баллов, что является, несомненно, клинически значимым отражением уменьшения степени когнитивного дефекта.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Изучение влияния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общее состояние пациентов с применением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валидизированных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объективных шкал общего клинического состояния в соответствии с врачебной оценкой и оценкой пациентов (шкала CGIC-PGIC) продемонстрировало, что для большинства пациентов было характерно гармоничное нарастание эффекта с соответствующей оценкой от «слегка улучшилось» до «сильно улучшилось» в процессе лечения. Наконец, анализ влияния лечения на качество жизни пациентов позволил установить достоверную динамику по  шкале SF-36 с наиболее значимыми изменениями по шкалам общего состояния здоровья, психического здоровья и жизненной активности.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Анализ безопасности применения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позволил выявить в 8,8 % случаев наличие побочных эффектов, которые носили легкий и преходящий характер, что в целом принципиально не отличается от наблюдений при применении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стандартных дозировках.</w:t>
      </w:r>
    </w:p>
    <w:p w:rsidR="007A776C" w:rsidRPr="007A776C" w:rsidRDefault="007A776C" w:rsidP="007A776C">
      <w:pPr>
        <w:spacing w:before="165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Таким образом, данное исследование не только подтвердило эффективность и безопасность применения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форте в терапии больных с хронической цереброваскулярной недостаточностью, но и продемонстрировало существенные преимущества и безопасность использования препарата в более высокой дозировке (20–50 мг в сутки раствора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внутривенно и 30 мг в сутки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форте перорально) на протяжении 3 мес. В работе получено подтверждение положения о</w:t>
      </w:r>
      <w:proofErr w:type="gram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том, что для достижения клинически значимого эффекта, особенно в отношении когнитивных расстройств, необходимо использование адекватно высоких дозировок </w:t>
      </w:r>
      <w:proofErr w:type="spellStart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 протяжении достаточно длительного курса терапии.</w:t>
      </w:r>
    </w:p>
    <w:p w:rsidR="007A776C" w:rsidRPr="007A776C" w:rsidRDefault="007A776C" w:rsidP="007A776C">
      <w:pPr>
        <w:spacing w:line="240" w:lineRule="auto"/>
        <w:rPr>
          <w:rFonts w:ascii="Verdana" w:eastAsia="Times New Roman" w:hAnsi="Verdana" w:cs="Times New Roman"/>
          <w:vanish/>
          <w:color w:val="999999"/>
          <w:sz w:val="15"/>
          <w:szCs w:val="15"/>
          <w:lang w:eastAsia="ru-RU"/>
        </w:rPr>
      </w:pPr>
      <w:r w:rsidRPr="007A776C">
        <w:rPr>
          <w:rFonts w:ascii="Verdana" w:eastAsia="Times New Roman" w:hAnsi="Verdana" w:cs="Times New Roman"/>
          <w:vanish/>
          <w:color w:val="999999"/>
          <w:sz w:val="15"/>
          <w:szCs w:val="15"/>
          <w:lang w:eastAsia="ru-RU"/>
        </w:rPr>
        <w:t> </w:t>
      </w:r>
    </w:p>
    <w:p w:rsidR="007A776C" w:rsidRPr="007A776C" w:rsidRDefault="007A776C" w:rsidP="007A776C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7A776C" w:rsidRPr="007A776C" w:rsidRDefault="007A776C" w:rsidP="007A776C">
      <w:pPr>
        <w:spacing w:after="24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A776C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Список литературы</w:t>
      </w:r>
    </w:p>
    <w:p w:rsidR="007A776C" w:rsidRPr="007A776C" w:rsidRDefault="007A776C" w:rsidP="007A776C">
      <w:pPr>
        <w:spacing w:before="165" w:line="240" w:lineRule="auto"/>
        <w:rPr>
          <w:rFonts w:ascii="Verdana" w:eastAsia="Times New Roman" w:hAnsi="Verdana" w:cs="Times New Roman"/>
          <w:sz w:val="17"/>
          <w:szCs w:val="17"/>
          <w:lang w:val="en-US" w:eastAsia="ru-RU"/>
        </w:rPr>
      </w:pP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1.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Bogousslavsky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J. 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On behalf of the European Stroke Initiative.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Stroke prevention by the practitioner //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Cerebrovasc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. 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Dis. — 1999.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— 9 (Suppl. 4). — 1-68.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2.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Dahlolof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В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.,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Devereux R.,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Kjeldsen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S. et al. Cardiovascular morbidity and mortality in the Losartan Intervention For Endpoint reduction in hypertension study (LIFE): a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randomised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study against atenolol // Lancet. — 2002. — 359. — 1003.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>3. Goldstein L.B., Adams R., Becker K. et al. Primary prevention of ischemic stroke: a statement for healthcare professionals from the Stroke Council of the American Heart Association // Stroke. — 2001. — 32. — 280-299.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4.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Фритас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Г.P., Богуславский Дж. Первичная профилактика инсульта // Журн.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неврол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. и психиатр. — 2001. — 1. — 7-21 (приложение «Инсульт»).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  <w:t>5. Гусев Е.И., Скворцова В.И. Ишемия головного мозга. — М.: Медицина, 2001.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  <w:t xml:space="preserve">6. Скворцова В.И. Участие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апоптоза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в формировании инфаркта мозга // Журн.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неврол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. и психиатр. — 2001. — 2. — 12-19 (приложение «Инсульт»).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7.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Warach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S. Measurement of the penumbra with MRI: It is about time // Stroke. — 2003. — 34. — 10. — 2533-2534.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8.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Diogo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N. et al. The safety and lack of efficacy of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in Alzheimer’s disease // J. Am.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Geriatr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. 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Soc. — 1989.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— 37. — 6. — 515-520.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9.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Gulyas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B.,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Haldin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C.,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Karlsson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P. Brain uptake and plasma metabolism of (11C)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: a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prelimanary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PET study in a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cynomolgus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monkey // J. Neuroimaging. — 1999. — 9. — 4. — 217-222.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10. Скворцова В.И. и др. Хроническая ишемия мозга // Болезни сердца и сосудов. — 2006. — 3. — 4-8.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11.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Gaal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L., Molnar P. Effect of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on noradrenergic neurons in rat locus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coeruleus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// Eur. J.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Pharmacol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. — 1990. — 187. — 3. — 537-539.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12. Santos M.S., Duarte A.I., Moreira P.I. et al.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Synaptosomal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response to oxidative stress: effect of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// Free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Radic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. 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Res. — 2000.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— 32. — 1. — 57-66.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13.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Bereczki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D.,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Fekete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I.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A systematic review of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therapy in acute ischemic stroke // Eur. J.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Clin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Pharmacol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. — 1999. — 55. — 5. — 349-352.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  <w:t xml:space="preserve">14.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Кавинтон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в эксперименте и клинической практике. Метод. рекомендации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/ П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од ред. Е.И. Гусева. — М., 1998.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  <w:t xml:space="preserve">15.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Суслина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З.А.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Кавинтон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в лечении больных с ишемическими нарушениями мозгового кровообращения // Рус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.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м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ед. журн. — 2003. — 10. — 25. — 1170-1174.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  <w:t>16. Шкалы, тесты и опросники в неврологии и психиатрии. Руководство для врачей и научных сотрудников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/ П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од ред. А.Н. Беловой. — М., 2004. — 434 с.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  <w:t xml:space="preserve">17. Хаджиев Д.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Нейропротективная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терапия при латентных формах недостаточности мозгового кровообращения как первичная профилактика ишемического инсульта // Качественная клин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.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п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рактика. — 2003. — 2. — 1-5.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  <w:t xml:space="preserve">18.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Эниня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Г.И.,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Пуриня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И.В., Тимофеева Т.Н. Влияние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кавинтона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трентала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сермиона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и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курантила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на скорость кровотока в отдельных участках мозговых артерий // Журн.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неврол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. и психиатр. — 1992. — 94. — 1. — 13-15.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19.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Erdo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S.L.,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Cai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N.S., Wolff J.R., Kiss B. Vin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р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protects against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excitotoxic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cell death in primary 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lastRenderedPageBreak/>
        <w:t xml:space="preserve">cultures of rat cerebral cortex // Eur. J.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Pharmacol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. — 1990. — 187. — 3. — 551-553.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20. Хорват Ш.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Кавинтон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в терапии хронической недостаточности мозгового кровообращения //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Orvosi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 xml:space="preserve">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Hetilap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. — 2001. — 8. — 383-389.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br/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21. Hayakawa M. Effect of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on red blood cell deformability in stroke patients //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Arzneim-Forsch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. — 1992. — 42. — 4. — 425-427.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22. Kiss 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В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.,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Karpati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E. Mechanism of action of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//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Acta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Pharm. Hung. — 1996. — 66. — 5. — 213-224.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23.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Moldvai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I.,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Temesvari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-Major E.,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Szantay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C.J. et al. Synthesis of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vinca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alkaloids and related compounds. Part 84. Sulfonamide derivatives of some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vinca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alkaloids with cardiovascular activity. — 1997. — 330. — 6. — 190-198.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24. Miyazaki M. The effect of a cerebral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vasodilatator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on 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с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erebral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vascular resistance evaluated by the Doppler ultrasonic technique in patients with cerebrovascular diseases // Angiology. — 1995. — 46. — 1. — 53-58.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25.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Hindmarch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I. Calcium antagonist activity of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and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vincamine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in several models of cerebral ischemia // Drug Dev. Res. — 1988. — 14. — 3–4. — 297-304.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26. Kiss 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В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.,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Szporny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L. On the possible role of central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monoami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softHyphen/>
        <w:t>nergic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systems in the central nervous system actions of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// Drug Dev. Res. — 1988. — 14. — 263-279.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27. Ley Beth M.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: revitalize your brain with periwinkle extract. — BL Publications, Detroit Lakes MN, 2000. — 17 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eastAsia="ru-RU"/>
        </w:rPr>
        <w:t>р</w:t>
      </w:r>
      <w:proofErr w:type="gram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.</w:t>
      </w:r>
      <w:proofErr w:type="gram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28.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Lakics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V.,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Sebestyen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M.G.,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Erdo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S.L.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is a highly potent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neuroprotectant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against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veratridin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-induced cell death in primary cultures of rat cerebral cortex //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Neirosci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Lett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. — 1995. — 185. — 2. — 127-130.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29.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Erdo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S.L., Molnar P.,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Lakics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V. et al.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Vincamine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and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vincanol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are potent blockers of voltage-gated Na+ channels // Eur. J.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Pharmacol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. — 1996. — 314. — 1–2. — 69-73.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30.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Hindmarch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L., Fuchs H.,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Erzigkeit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H. Efficacy and tolerance of 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in ambulant patients suffering from mild to moderate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orga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-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nic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psychosyndromes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// Int.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Clin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. Psychol. — 1991. — 6. — 31-43.</w:t>
      </w:r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br/>
        <w:t xml:space="preserve">31. Molnar P.,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Erdo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S.L.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Vinpocetine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 xml:space="preserve"> is potent as phenytoin to block voltage-gated Na+ channels in rat cortical neurons // Eur. J. </w:t>
      </w:r>
      <w:proofErr w:type="spellStart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Pharmacol</w:t>
      </w:r>
      <w:proofErr w:type="spellEnd"/>
      <w:r w:rsidRPr="007A776C">
        <w:rPr>
          <w:rFonts w:ascii="Verdana" w:eastAsia="Times New Roman" w:hAnsi="Verdana" w:cs="Times New Roman"/>
          <w:i/>
          <w:iCs/>
          <w:sz w:val="17"/>
          <w:szCs w:val="17"/>
          <w:lang w:val="en-US" w:eastAsia="ru-RU"/>
        </w:rPr>
        <w:t>. — 1995. — 273. — 3. — 303-306. </w:t>
      </w:r>
    </w:p>
    <w:p w:rsidR="00E96B52" w:rsidRPr="007A776C" w:rsidRDefault="00752354">
      <w:pPr>
        <w:rPr>
          <w:lang w:val="en-US"/>
        </w:rPr>
      </w:pPr>
      <w:bookmarkStart w:id="0" w:name="_GoBack"/>
      <w:bookmarkEnd w:id="0"/>
    </w:p>
    <w:sectPr w:rsidR="00E96B52" w:rsidRPr="007A776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54" w:rsidRDefault="00752354" w:rsidP="007A776C">
      <w:pPr>
        <w:spacing w:after="0" w:line="240" w:lineRule="auto"/>
      </w:pPr>
      <w:r>
        <w:separator/>
      </w:r>
    </w:p>
  </w:endnote>
  <w:endnote w:type="continuationSeparator" w:id="0">
    <w:p w:rsidR="00752354" w:rsidRDefault="00752354" w:rsidP="007A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600655"/>
      <w:docPartObj>
        <w:docPartGallery w:val="Page Numbers (Bottom of Page)"/>
        <w:docPartUnique/>
      </w:docPartObj>
    </w:sdtPr>
    <w:sdtContent>
      <w:p w:rsidR="007A776C" w:rsidRDefault="007A77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776C" w:rsidRDefault="007A77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54" w:rsidRDefault="00752354" w:rsidP="007A776C">
      <w:pPr>
        <w:spacing w:after="0" w:line="240" w:lineRule="auto"/>
      </w:pPr>
      <w:r>
        <w:separator/>
      </w:r>
    </w:p>
  </w:footnote>
  <w:footnote w:type="continuationSeparator" w:id="0">
    <w:p w:rsidR="00752354" w:rsidRDefault="00752354" w:rsidP="007A7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6C"/>
    <w:rsid w:val="003E78F5"/>
    <w:rsid w:val="006E4204"/>
    <w:rsid w:val="00752354"/>
    <w:rsid w:val="007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7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76C"/>
  </w:style>
  <w:style w:type="paragraph" w:styleId="a7">
    <w:name w:val="footer"/>
    <w:basedOn w:val="a"/>
    <w:link w:val="a8"/>
    <w:uiPriority w:val="99"/>
    <w:unhideWhenUsed/>
    <w:rsid w:val="007A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7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76C"/>
  </w:style>
  <w:style w:type="paragraph" w:styleId="a7">
    <w:name w:val="footer"/>
    <w:basedOn w:val="a"/>
    <w:link w:val="a8"/>
    <w:uiPriority w:val="99"/>
    <w:unhideWhenUsed/>
    <w:rsid w:val="007A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4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000000"/>
            <w:right w:val="none" w:sz="0" w:space="0" w:color="auto"/>
          </w:divBdr>
        </w:div>
        <w:div w:id="18297863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000000"/>
            <w:right w:val="none" w:sz="0" w:space="0" w:color="auto"/>
          </w:divBdr>
        </w:div>
        <w:div w:id="16744511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000000"/>
            <w:right w:val="none" w:sz="0" w:space="0" w:color="auto"/>
          </w:divBdr>
          <w:divsChild>
            <w:div w:id="594942063">
              <w:marLeft w:val="0"/>
              <w:marRight w:val="0"/>
              <w:marTop w:val="0"/>
              <w:marBottom w:val="0"/>
              <w:divBdr>
                <w:top w:val="dotted" w:sz="6" w:space="8" w:color="AAAAAA"/>
                <w:left w:val="dotted" w:sz="6" w:space="8" w:color="AAAAAA"/>
                <w:bottom w:val="dotted" w:sz="6" w:space="8" w:color="AAAAAA"/>
                <w:right w:val="dotted" w:sz="6" w:space="8" w:color="AAAAAA"/>
              </w:divBdr>
            </w:div>
          </w:divsChild>
        </w:div>
        <w:div w:id="6047021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Rozhdestvenskaja O.A.</dc:creator>
  <cp:lastModifiedBy>Rozhdestvenskaja O.A.</cp:lastModifiedBy>
  <cp:revision>1</cp:revision>
  <dcterms:created xsi:type="dcterms:W3CDTF">2017-12-04T09:57:00Z</dcterms:created>
  <dcterms:modified xsi:type="dcterms:W3CDTF">2017-12-04T09:58:00Z</dcterms:modified>
</cp:coreProperties>
</file>