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63" w:rsidRPr="00346227" w:rsidRDefault="00670C63" w:rsidP="00670C63"/>
    <w:p w:rsidR="00B22F86" w:rsidRPr="00B22F86" w:rsidRDefault="00574D35" w:rsidP="00B22F86">
      <w:pPr>
        <w:spacing w:line="20" w:lineRule="atLeast"/>
        <w:contextualSpacing/>
        <w:jc w:val="center"/>
        <w:rPr>
          <w:b/>
          <w:sz w:val="32"/>
          <w:szCs w:val="32"/>
        </w:rPr>
      </w:pPr>
      <w:r>
        <w:rPr>
          <w:b/>
          <w:sz w:val="32"/>
          <w:szCs w:val="32"/>
        </w:rPr>
        <w:t>ПРЕДЕЛ</w:t>
      </w:r>
      <w:r w:rsidR="00B22F86" w:rsidRPr="00B22F86">
        <w:rPr>
          <w:b/>
          <w:sz w:val="32"/>
          <w:szCs w:val="32"/>
        </w:rPr>
        <w:t xml:space="preserve"> УСТОЙЧИВОСТИ ФРОНТА ГОРЕНИЯ БИДИСПЕРСНОГО ТВЕРДОГО ТОПЛИВА </w:t>
      </w:r>
    </w:p>
    <w:p w:rsidR="00B22F86" w:rsidRPr="00B22F86" w:rsidRDefault="00B22F86" w:rsidP="00B22F86">
      <w:pPr>
        <w:spacing w:line="20" w:lineRule="atLeast"/>
        <w:contextualSpacing/>
        <w:jc w:val="center"/>
        <w:rPr>
          <w:b/>
          <w:sz w:val="32"/>
          <w:szCs w:val="32"/>
        </w:rPr>
      </w:pPr>
      <w:r w:rsidRPr="00B22F86">
        <w:rPr>
          <w:b/>
          <w:sz w:val="32"/>
          <w:szCs w:val="32"/>
        </w:rPr>
        <w:t>В НАКЛОННОМ ВРАЩАЮЩЕМСЯ РЕАКТОРЕ</w:t>
      </w:r>
    </w:p>
    <w:p w:rsidR="00B22F86" w:rsidRDefault="00B22F86" w:rsidP="00B22F86">
      <w:pPr>
        <w:rPr>
          <w:b/>
          <w:caps/>
          <w:sz w:val="28"/>
          <w:szCs w:val="28"/>
        </w:rPr>
      </w:pPr>
    </w:p>
    <w:p w:rsidR="00670C63" w:rsidRDefault="00B22F86" w:rsidP="00B22F86">
      <w:pPr>
        <w:jc w:val="center"/>
        <w:rPr>
          <w:b/>
          <w:i/>
          <w:sz w:val="28"/>
          <w:szCs w:val="28"/>
        </w:rPr>
      </w:pPr>
      <w:proofErr w:type="spellStart"/>
      <w:r w:rsidRPr="00B22F86">
        <w:rPr>
          <w:b/>
          <w:i/>
          <w:sz w:val="28"/>
          <w:szCs w:val="28"/>
        </w:rPr>
        <w:t>Вельковская</w:t>
      </w:r>
      <w:proofErr w:type="spellEnd"/>
      <w:r w:rsidRPr="00B22F86">
        <w:rPr>
          <w:b/>
          <w:i/>
          <w:sz w:val="28"/>
          <w:szCs w:val="28"/>
        </w:rPr>
        <w:t xml:space="preserve"> И.И.</w:t>
      </w:r>
      <w:r w:rsidRPr="00B22F86">
        <w:rPr>
          <w:b/>
          <w:i/>
          <w:sz w:val="28"/>
          <w:szCs w:val="28"/>
          <w:vertAlign w:val="superscript"/>
        </w:rPr>
        <w:t>1</w:t>
      </w:r>
      <w:r w:rsidR="00670C63">
        <w:rPr>
          <w:b/>
          <w:i/>
          <w:sz w:val="28"/>
          <w:szCs w:val="28"/>
        </w:rPr>
        <w:t xml:space="preserve">  студентка</w:t>
      </w:r>
      <w:r w:rsidR="00670C63" w:rsidRPr="00C22C6F">
        <w:rPr>
          <w:b/>
          <w:i/>
          <w:sz w:val="28"/>
          <w:szCs w:val="28"/>
        </w:rPr>
        <w:t xml:space="preserve">, </w:t>
      </w:r>
      <w:r w:rsidR="00670C63">
        <w:rPr>
          <w:b/>
          <w:i/>
          <w:sz w:val="28"/>
          <w:szCs w:val="28"/>
        </w:rPr>
        <w:t>Подлесный</w:t>
      </w:r>
      <w:proofErr w:type="gramStart"/>
      <w:r w:rsidR="00670C63">
        <w:rPr>
          <w:b/>
          <w:i/>
          <w:sz w:val="28"/>
          <w:szCs w:val="28"/>
          <w:vertAlign w:val="superscript"/>
        </w:rPr>
        <w:t>2</w:t>
      </w:r>
      <w:proofErr w:type="gramEnd"/>
      <w:r w:rsidR="00670C63" w:rsidRPr="00C22C6F">
        <w:rPr>
          <w:b/>
          <w:i/>
          <w:sz w:val="28"/>
          <w:szCs w:val="28"/>
        </w:rPr>
        <w:t xml:space="preserve"> </w:t>
      </w:r>
      <w:r w:rsidR="00670C63">
        <w:rPr>
          <w:b/>
          <w:i/>
          <w:sz w:val="28"/>
          <w:szCs w:val="28"/>
        </w:rPr>
        <w:t>Д</w:t>
      </w:r>
      <w:r w:rsidR="00670C63" w:rsidRPr="00C22C6F">
        <w:rPr>
          <w:b/>
          <w:i/>
          <w:sz w:val="28"/>
          <w:szCs w:val="28"/>
        </w:rPr>
        <w:t>.</w:t>
      </w:r>
      <w:r w:rsidR="00670C63">
        <w:rPr>
          <w:b/>
          <w:i/>
          <w:sz w:val="28"/>
          <w:szCs w:val="28"/>
        </w:rPr>
        <w:t>Н, Зайченко</w:t>
      </w:r>
      <w:r w:rsidR="00670C63">
        <w:rPr>
          <w:b/>
          <w:i/>
          <w:sz w:val="28"/>
          <w:szCs w:val="28"/>
          <w:vertAlign w:val="superscript"/>
        </w:rPr>
        <w:t>2</w:t>
      </w:r>
      <w:r w:rsidR="00670C63">
        <w:rPr>
          <w:b/>
          <w:i/>
          <w:sz w:val="28"/>
          <w:szCs w:val="28"/>
        </w:rPr>
        <w:t xml:space="preserve"> А.Ю.</w:t>
      </w:r>
    </w:p>
    <w:p w:rsidR="00670C63" w:rsidRPr="00C22C6F" w:rsidRDefault="00670C63" w:rsidP="00670C63">
      <w:pPr>
        <w:jc w:val="center"/>
        <w:rPr>
          <w:b/>
          <w:i/>
          <w:sz w:val="28"/>
          <w:szCs w:val="28"/>
          <w:u w:val="single"/>
        </w:rPr>
      </w:pPr>
    </w:p>
    <w:p w:rsidR="00670C63" w:rsidRDefault="00670C63" w:rsidP="00670C63">
      <w:pPr>
        <w:jc w:val="center"/>
        <w:rPr>
          <w:b/>
          <w:i/>
          <w:sz w:val="28"/>
          <w:szCs w:val="28"/>
        </w:rPr>
      </w:pPr>
      <w:r w:rsidRPr="00670C63">
        <w:rPr>
          <w:b/>
          <w:i/>
          <w:sz w:val="28"/>
          <w:szCs w:val="28"/>
          <w:vertAlign w:val="superscript"/>
        </w:rPr>
        <w:t>1-</w:t>
      </w:r>
      <w:r w:rsidRPr="00670C63">
        <w:rPr>
          <w:b/>
          <w:i/>
          <w:sz w:val="28"/>
          <w:szCs w:val="28"/>
        </w:rPr>
        <w:t xml:space="preserve">Московский государственный университет им. М.В. Ломоносова, </w:t>
      </w:r>
    </w:p>
    <w:p w:rsidR="00670C63" w:rsidRPr="009F5623" w:rsidRDefault="00670C63" w:rsidP="00670C63">
      <w:pPr>
        <w:jc w:val="center"/>
        <w:rPr>
          <w:b/>
          <w:i/>
          <w:sz w:val="28"/>
          <w:szCs w:val="28"/>
        </w:rPr>
      </w:pPr>
      <w:r w:rsidRPr="00670C63">
        <w:rPr>
          <w:b/>
          <w:i/>
          <w:sz w:val="28"/>
          <w:szCs w:val="28"/>
        </w:rPr>
        <w:t>г. Москва, Россия,</w:t>
      </w:r>
      <w:r w:rsidRPr="00C22C6F">
        <w:rPr>
          <w:b/>
          <w:i/>
          <w:sz w:val="28"/>
          <w:szCs w:val="28"/>
        </w:rPr>
        <w:t xml:space="preserve"> </w:t>
      </w:r>
      <w:hyperlink r:id="rId4" w:history="1">
        <w:r w:rsidR="00B22F86" w:rsidRPr="00AE3E5C">
          <w:rPr>
            <w:rStyle w:val="a3"/>
            <w:b/>
            <w:i/>
            <w:sz w:val="28"/>
            <w:szCs w:val="28"/>
            <w:lang w:val="en-US"/>
          </w:rPr>
          <w:t>velkovskaya</w:t>
        </w:r>
        <w:r w:rsidR="00B22F86" w:rsidRPr="00AE3E5C">
          <w:rPr>
            <w:rStyle w:val="a3"/>
            <w:b/>
            <w:i/>
            <w:sz w:val="28"/>
            <w:szCs w:val="28"/>
          </w:rPr>
          <w:t>.</w:t>
        </w:r>
        <w:r w:rsidR="00B22F86" w:rsidRPr="00AE3E5C">
          <w:rPr>
            <w:rStyle w:val="a3"/>
            <w:b/>
            <w:i/>
            <w:sz w:val="28"/>
            <w:szCs w:val="28"/>
            <w:lang w:val="en-US"/>
          </w:rPr>
          <w:t>i</w:t>
        </w:r>
        <w:r w:rsidR="00B22F86" w:rsidRPr="00AE3E5C">
          <w:rPr>
            <w:rStyle w:val="a3"/>
            <w:b/>
            <w:i/>
            <w:sz w:val="28"/>
            <w:szCs w:val="28"/>
          </w:rPr>
          <w:t>@</w:t>
        </w:r>
        <w:r w:rsidR="00B22F86" w:rsidRPr="00AE3E5C">
          <w:rPr>
            <w:rStyle w:val="a3"/>
            <w:b/>
            <w:i/>
            <w:sz w:val="28"/>
            <w:szCs w:val="28"/>
            <w:lang w:val="en-US"/>
          </w:rPr>
          <w:t>gmail</w:t>
        </w:r>
        <w:r w:rsidR="00B22F86" w:rsidRPr="00AE3E5C">
          <w:rPr>
            <w:rStyle w:val="a3"/>
            <w:b/>
            <w:i/>
            <w:sz w:val="28"/>
            <w:szCs w:val="28"/>
          </w:rPr>
          <w:t>.</w:t>
        </w:r>
        <w:r w:rsidR="00B22F86" w:rsidRPr="00AE3E5C">
          <w:rPr>
            <w:rStyle w:val="a3"/>
            <w:b/>
            <w:i/>
            <w:sz w:val="28"/>
            <w:szCs w:val="28"/>
            <w:lang w:val="en-US"/>
          </w:rPr>
          <w:t>com</w:t>
        </w:r>
      </w:hyperlink>
      <w:r>
        <w:rPr>
          <w:b/>
          <w:i/>
          <w:sz w:val="28"/>
          <w:szCs w:val="28"/>
        </w:rPr>
        <w:t>;</w:t>
      </w:r>
    </w:p>
    <w:p w:rsidR="00670C63" w:rsidRDefault="00670C63" w:rsidP="00670C63">
      <w:pPr>
        <w:spacing w:line="20" w:lineRule="atLeast"/>
        <w:contextualSpacing/>
        <w:jc w:val="center"/>
        <w:rPr>
          <w:i/>
        </w:rPr>
      </w:pPr>
      <w:r>
        <w:rPr>
          <w:b/>
          <w:i/>
          <w:sz w:val="28"/>
          <w:szCs w:val="28"/>
          <w:vertAlign w:val="superscript"/>
        </w:rPr>
        <w:t xml:space="preserve">2- </w:t>
      </w:r>
      <w:r w:rsidRPr="00670C63">
        <w:rPr>
          <w:b/>
          <w:i/>
          <w:sz w:val="28"/>
          <w:szCs w:val="28"/>
        </w:rPr>
        <w:t>Институт проблем химической физики РАН, г</w:t>
      </w:r>
      <w:proofErr w:type="gramStart"/>
      <w:r w:rsidRPr="00670C63">
        <w:rPr>
          <w:b/>
          <w:i/>
          <w:sz w:val="28"/>
          <w:szCs w:val="28"/>
        </w:rPr>
        <w:t>.Ч</w:t>
      </w:r>
      <w:proofErr w:type="gramEnd"/>
      <w:r w:rsidRPr="00670C63">
        <w:rPr>
          <w:b/>
          <w:i/>
          <w:sz w:val="28"/>
          <w:szCs w:val="28"/>
        </w:rPr>
        <w:t>ерноголовка, Россия</w:t>
      </w:r>
    </w:p>
    <w:p w:rsidR="00670C63" w:rsidRPr="00FB5696" w:rsidRDefault="00670C63" w:rsidP="00670C63">
      <w:pPr>
        <w:jc w:val="center"/>
        <w:rPr>
          <w:b/>
          <w:i/>
          <w:sz w:val="28"/>
          <w:szCs w:val="28"/>
        </w:rPr>
      </w:pPr>
    </w:p>
    <w:p w:rsidR="006E046F" w:rsidRPr="006E046F" w:rsidRDefault="006E046F" w:rsidP="006E046F">
      <w:pPr>
        <w:spacing w:line="20" w:lineRule="atLeast"/>
        <w:ind w:firstLine="540"/>
        <w:contextualSpacing/>
        <w:jc w:val="both"/>
        <w:rPr>
          <w:rFonts w:eastAsia="Calibri"/>
          <w:sz w:val="28"/>
          <w:szCs w:val="28"/>
        </w:rPr>
      </w:pPr>
      <w:r w:rsidRPr="006E046F">
        <w:rPr>
          <w:rFonts w:eastAsia="Calibri"/>
          <w:sz w:val="28"/>
          <w:szCs w:val="28"/>
        </w:rPr>
        <w:t xml:space="preserve">При изучении процессов фильтрационного горения в пористой системе, содержащей твердое горючее и пористый негорючий материал, с вынужденной фильтрацией газообразного окислителя, в ряде случаев наблюдается возникновение и развитие неустойчивости фронта горения. Одной из причин неустойчивости плоского фронта волны горения является нарушение однородности фильтрации газообразного окислителя вследствие выгорания горючего из исходной смеси. Неустойчивость также может определяться различием фильтрационных свойств исходных веществ и твердых продуктов горения [1]. </w:t>
      </w:r>
    </w:p>
    <w:p w:rsidR="006E046F" w:rsidRPr="006E046F" w:rsidRDefault="006E046F" w:rsidP="006E046F">
      <w:pPr>
        <w:spacing w:line="20" w:lineRule="atLeast"/>
        <w:ind w:firstLine="540"/>
        <w:contextualSpacing/>
        <w:jc w:val="both"/>
        <w:rPr>
          <w:rFonts w:eastAsia="Calibri"/>
          <w:sz w:val="28"/>
          <w:szCs w:val="28"/>
        </w:rPr>
      </w:pPr>
      <w:r w:rsidRPr="006E046F">
        <w:rPr>
          <w:rFonts w:eastAsia="Calibri"/>
          <w:sz w:val="28"/>
          <w:szCs w:val="28"/>
        </w:rPr>
        <w:t>Одним из способов стабилизации фронта горения является применение наклонного вращающегося реактора [2]. Используемый тип реактора позволяет объединить достоинства вращающихся печей (в частности, перемешивание сырья) с преимуществами фильтрационного горения в плотном слое – эффективной рекуперацией тепла в зоне горения  и, как следствие, высоким КПД процесса. В наклонном вращающемся реакторе процесс горения может быть стабилизирован, подавляя неустойчивости плоского фронта горения, за счет перемешивания материала [3]. Однако до сих пор не было проведено систематического исследования влияния изучаемых параметров (расход окислителя, фракционный и процентный состав компонентов смеси), ограничивающих применимость газификаторов данного типа.</w:t>
      </w:r>
    </w:p>
    <w:p w:rsidR="006E046F" w:rsidRPr="006E046F" w:rsidRDefault="006E046F" w:rsidP="006E046F">
      <w:pPr>
        <w:spacing w:line="20" w:lineRule="atLeast"/>
        <w:ind w:firstLine="540"/>
        <w:contextualSpacing/>
        <w:jc w:val="both"/>
        <w:rPr>
          <w:sz w:val="28"/>
          <w:szCs w:val="28"/>
        </w:rPr>
      </w:pPr>
      <w:r w:rsidRPr="006E046F">
        <w:rPr>
          <w:rFonts w:eastAsia="Calibri"/>
          <w:sz w:val="28"/>
          <w:szCs w:val="28"/>
        </w:rPr>
        <w:t>В связи с этим работа посвящена экспериментальному исследованию фильтрационного горения углер</w:t>
      </w:r>
      <w:r w:rsidRPr="006E046F">
        <w:rPr>
          <w:sz w:val="28"/>
          <w:szCs w:val="28"/>
        </w:rPr>
        <w:t>одсодержащего твердого топлива</w:t>
      </w:r>
      <w:r w:rsidRPr="006E046F">
        <w:rPr>
          <w:rFonts w:eastAsia="Calibri"/>
          <w:sz w:val="28"/>
          <w:szCs w:val="28"/>
        </w:rPr>
        <w:t xml:space="preserve"> в наклонном вращающемся реакторе с плотным слоем шихты. </w:t>
      </w:r>
    </w:p>
    <w:p w:rsidR="006E046F" w:rsidRPr="006E046F" w:rsidRDefault="006E046F" w:rsidP="006E046F">
      <w:pPr>
        <w:spacing w:line="20" w:lineRule="atLeast"/>
        <w:ind w:firstLine="540"/>
        <w:contextualSpacing/>
        <w:jc w:val="both"/>
        <w:rPr>
          <w:sz w:val="28"/>
          <w:szCs w:val="28"/>
        </w:rPr>
      </w:pPr>
      <w:r w:rsidRPr="006E046F">
        <w:rPr>
          <w:rFonts w:eastAsia="Calibri"/>
          <w:sz w:val="28"/>
          <w:szCs w:val="28"/>
        </w:rPr>
        <w:t xml:space="preserve">Исследование проводили на лабораторной установке с внутренним диаметром реактора 66 </w:t>
      </w:r>
      <w:r w:rsidRPr="006E046F">
        <w:rPr>
          <w:rFonts w:eastAsia="Calibri"/>
          <w:i/>
          <w:sz w:val="28"/>
          <w:szCs w:val="28"/>
        </w:rPr>
        <w:t>мм</w:t>
      </w:r>
      <w:r w:rsidRPr="006E046F">
        <w:rPr>
          <w:sz w:val="28"/>
          <w:szCs w:val="28"/>
        </w:rPr>
        <w:t xml:space="preserve"> (Рис.1)</w:t>
      </w:r>
      <w:r w:rsidRPr="006E046F">
        <w:rPr>
          <w:rFonts w:eastAsia="Calibri"/>
          <w:sz w:val="28"/>
          <w:szCs w:val="28"/>
        </w:rPr>
        <w:t>.</w:t>
      </w:r>
      <w:r w:rsidRPr="006E046F">
        <w:rPr>
          <w:sz w:val="28"/>
          <w:szCs w:val="28"/>
        </w:rPr>
        <w:t xml:space="preserve"> </w:t>
      </w:r>
    </w:p>
    <w:p w:rsidR="00670C63" w:rsidRPr="006E046F" w:rsidRDefault="00670C63" w:rsidP="00670C63">
      <w:pPr>
        <w:jc w:val="center"/>
        <w:rPr>
          <w:sz w:val="28"/>
          <w:szCs w:val="28"/>
        </w:rPr>
      </w:pPr>
    </w:p>
    <w:p w:rsidR="006E046F" w:rsidRDefault="006E046F">
      <w:pPr>
        <w:spacing w:after="200" w:line="276" w:lineRule="auto"/>
      </w:pPr>
      <w:r>
        <w:br w:type="page"/>
      </w:r>
    </w:p>
    <w:p w:rsidR="006E046F" w:rsidRDefault="006E046F">
      <w:r>
        <w:rPr>
          <w:noProof/>
        </w:rPr>
        <w:lastRenderedPageBreak/>
        <w:drawing>
          <wp:anchor distT="0" distB="0" distL="114300" distR="114300" simplePos="0" relativeHeight="251658240" behindDoc="0" locked="0" layoutInCell="1" allowOverlap="1">
            <wp:simplePos x="0" y="0"/>
            <wp:positionH relativeFrom="column">
              <wp:posOffset>1029970</wp:posOffset>
            </wp:positionH>
            <wp:positionV relativeFrom="paragraph">
              <wp:posOffset>-918210</wp:posOffset>
            </wp:positionV>
            <wp:extent cx="3089910" cy="2440940"/>
            <wp:effectExtent l="19050" t="0" r="0" b="0"/>
            <wp:wrapNone/>
            <wp:docPr id="1" name="Рисунок 1" descr="D:\Работа ИПХФ РАН Подлесный\Курсач Иры\установка1-2.png"/>
            <wp:cNvGraphicFramePr/>
            <a:graphic xmlns:a="http://schemas.openxmlformats.org/drawingml/2006/main">
              <a:graphicData uri="http://schemas.openxmlformats.org/drawingml/2006/picture">
                <pic:pic xmlns:pic="http://schemas.openxmlformats.org/drawingml/2006/picture">
                  <pic:nvPicPr>
                    <pic:cNvPr id="9217" name="Picture 1" descr="D:\Работа ИПХФ РАН Подлесный\Курсач Иры\установка1-2.png"/>
                    <pic:cNvPicPr>
                      <a:picLocks noChangeAspect="1" noChangeArrowheads="1"/>
                    </pic:cNvPicPr>
                  </pic:nvPicPr>
                  <pic:blipFill>
                    <a:blip r:embed="rId5" cstate="print"/>
                    <a:srcRect/>
                    <a:stretch>
                      <a:fillRect/>
                    </a:stretch>
                  </pic:blipFill>
                  <pic:spPr bwMode="auto">
                    <a:xfrm>
                      <a:off x="0" y="0"/>
                      <a:ext cx="3089910" cy="2440940"/>
                    </a:xfrm>
                    <a:prstGeom prst="rect">
                      <a:avLst/>
                    </a:prstGeom>
                    <a:noFill/>
                  </pic:spPr>
                </pic:pic>
              </a:graphicData>
            </a:graphic>
          </wp:anchor>
        </w:drawing>
      </w:r>
    </w:p>
    <w:p w:rsidR="006E046F" w:rsidRPr="006E046F" w:rsidRDefault="006E046F" w:rsidP="006E046F"/>
    <w:p w:rsidR="006E046F" w:rsidRPr="006E046F" w:rsidRDefault="006E046F" w:rsidP="006E046F"/>
    <w:p w:rsidR="006E046F" w:rsidRPr="006E046F" w:rsidRDefault="006E046F" w:rsidP="006E046F"/>
    <w:p w:rsidR="006E046F" w:rsidRPr="006E046F" w:rsidRDefault="006E046F" w:rsidP="006E046F"/>
    <w:p w:rsidR="006E046F" w:rsidRPr="006E046F" w:rsidRDefault="006E046F" w:rsidP="006E046F"/>
    <w:p w:rsidR="006E046F" w:rsidRPr="006E046F" w:rsidRDefault="006E046F" w:rsidP="006E046F"/>
    <w:p w:rsidR="006E046F" w:rsidRPr="006E046F" w:rsidRDefault="006E046F" w:rsidP="006E046F"/>
    <w:p w:rsidR="006E046F" w:rsidRDefault="006E046F" w:rsidP="006E046F"/>
    <w:p w:rsidR="006E046F" w:rsidRPr="006E046F" w:rsidRDefault="006E046F" w:rsidP="006E046F">
      <w:pPr>
        <w:tabs>
          <w:tab w:val="left" w:pos="2617"/>
        </w:tabs>
        <w:jc w:val="center"/>
      </w:pPr>
      <w:r w:rsidRPr="006E046F">
        <w:rPr>
          <w:b/>
        </w:rPr>
        <w:t>Рис.1.</w:t>
      </w:r>
      <w:r>
        <w:t xml:space="preserve"> </w:t>
      </w:r>
      <w:r w:rsidRPr="006E046F">
        <w:t xml:space="preserve">1 – реактор, 2 – электронный расходомер, 3 – </w:t>
      </w:r>
      <w:proofErr w:type="spellStart"/>
      <w:r w:rsidRPr="006E046F">
        <w:t>тепловизионная</w:t>
      </w:r>
      <w:proofErr w:type="spellEnd"/>
      <w:r w:rsidRPr="006E046F">
        <w:t xml:space="preserve"> камера,4 – привод реактора, 5 – компрессор, 6 – ЛАТР, 7 - камера</w:t>
      </w:r>
    </w:p>
    <w:p w:rsidR="005B3EC6" w:rsidRDefault="005B3EC6" w:rsidP="006E046F">
      <w:pPr>
        <w:tabs>
          <w:tab w:val="left" w:pos="2617"/>
        </w:tabs>
        <w:jc w:val="center"/>
      </w:pPr>
    </w:p>
    <w:p w:rsidR="006E046F" w:rsidRPr="006E046F" w:rsidRDefault="006E046F" w:rsidP="006E046F">
      <w:pPr>
        <w:spacing w:line="20" w:lineRule="atLeast"/>
        <w:ind w:firstLine="540"/>
        <w:contextualSpacing/>
        <w:jc w:val="both"/>
        <w:rPr>
          <w:rFonts w:eastAsia="Calibri"/>
          <w:sz w:val="28"/>
          <w:szCs w:val="28"/>
        </w:rPr>
      </w:pPr>
      <w:r w:rsidRPr="006E046F">
        <w:rPr>
          <w:rFonts w:eastAsia="Calibri"/>
          <w:sz w:val="28"/>
          <w:szCs w:val="28"/>
        </w:rPr>
        <w:t>В качестве объекта исследования использовали смесь каменного угля (фракция 1-</w:t>
      </w:r>
      <w:smartTag w:uri="urn:schemas-microsoft-com:office:smarttags" w:element="metricconverter">
        <w:smartTagPr>
          <w:attr w:name="ProductID" w:val="2 мм"/>
        </w:smartTagPr>
        <w:r w:rsidRPr="006E046F">
          <w:rPr>
            <w:rFonts w:eastAsia="Calibri"/>
            <w:sz w:val="28"/>
            <w:szCs w:val="28"/>
          </w:rPr>
          <w:t xml:space="preserve">2 </w:t>
        </w:r>
        <w:r w:rsidRPr="006E046F">
          <w:rPr>
            <w:rFonts w:eastAsia="Calibri"/>
            <w:i/>
            <w:sz w:val="28"/>
            <w:szCs w:val="28"/>
          </w:rPr>
          <w:t>мм</w:t>
        </w:r>
      </w:smartTag>
      <w:r w:rsidRPr="006E046F">
        <w:rPr>
          <w:rFonts w:eastAsia="Calibri"/>
          <w:sz w:val="28"/>
          <w:szCs w:val="28"/>
        </w:rPr>
        <w:t xml:space="preserve"> и 5-</w:t>
      </w:r>
      <w:smartTag w:uri="urn:schemas-microsoft-com:office:smarttags" w:element="metricconverter">
        <w:smartTagPr>
          <w:attr w:name="ProductID" w:val="7 мм"/>
        </w:smartTagPr>
        <w:r w:rsidRPr="006E046F">
          <w:rPr>
            <w:rFonts w:eastAsia="Calibri"/>
            <w:sz w:val="28"/>
            <w:szCs w:val="28"/>
          </w:rPr>
          <w:t xml:space="preserve">7 </w:t>
        </w:r>
        <w:r w:rsidRPr="006E046F">
          <w:rPr>
            <w:rFonts w:eastAsia="Calibri"/>
            <w:i/>
            <w:sz w:val="28"/>
            <w:szCs w:val="28"/>
          </w:rPr>
          <w:t>мм</w:t>
        </w:r>
      </w:smartTag>
      <w:r w:rsidRPr="006E046F">
        <w:rPr>
          <w:rFonts w:eastAsia="Calibri"/>
          <w:sz w:val="28"/>
          <w:szCs w:val="28"/>
        </w:rPr>
        <w:t>) и инертного  компонента (дробленный шамотный кирпич фракции 5-</w:t>
      </w:r>
      <w:smartTag w:uri="urn:schemas-microsoft-com:office:smarttags" w:element="metricconverter">
        <w:smartTagPr>
          <w:attr w:name="ProductID" w:val="7 мм"/>
        </w:smartTagPr>
        <w:r w:rsidRPr="006E046F">
          <w:rPr>
            <w:rFonts w:eastAsia="Calibri"/>
            <w:sz w:val="28"/>
            <w:szCs w:val="28"/>
          </w:rPr>
          <w:t xml:space="preserve">7 </w:t>
        </w:r>
        <w:r w:rsidRPr="006E046F">
          <w:rPr>
            <w:rFonts w:eastAsia="Calibri"/>
            <w:i/>
            <w:sz w:val="28"/>
            <w:szCs w:val="28"/>
          </w:rPr>
          <w:t>мм</w:t>
        </w:r>
      </w:smartTag>
      <w:r w:rsidRPr="006E046F">
        <w:rPr>
          <w:rFonts w:eastAsia="Calibri"/>
          <w:sz w:val="28"/>
          <w:szCs w:val="28"/>
        </w:rPr>
        <w:t>) в соотношении 1:1. Использование таких топливных составов смеси, с одной стороны, объясняется содержанием мелкой фракции в реальных угольных топливах, и, с другой стороны, созданием условий, ухудшающих фильтрационные свойства используемых составов.</w:t>
      </w:r>
    </w:p>
    <w:p w:rsidR="006E046F" w:rsidRPr="006E046F" w:rsidRDefault="006E046F" w:rsidP="006E046F">
      <w:pPr>
        <w:spacing w:line="20" w:lineRule="atLeast"/>
        <w:ind w:firstLine="540"/>
        <w:contextualSpacing/>
        <w:jc w:val="both"/>
        <w:rPr>
          <w:rFonts w:eastAsia="Calibri"/>
          <w:sz w:val="28"/>
          <w:szCs w:val="28"/>
        </w:rPr>
      </w:pPr>
      <w:r w:rsidRPr="006E046F">
        <w:rPr>
          <w:rFonts w:eastAsia="Calibri"/>
          <w:sz w:val="28"/>
          <w:szCs w:val="28"/>
        </w:rPr>
        <w:t>Для характеристики неустойчивости фронта фильтрационного горения был введен безразмерный коэффициент, равный отношению максимальной ширины фронта к её минимальному значению (Рис.2):</w:t>
      </w:r>
    </w:p>
    <w:p w:rsidR="006E046F" w:rsidRPr="006E046F" w:rsidRDefault="006E046F" w:rsidP="006E046F">
      <w:pPr>
        <w:spacing w:line="20" w:lineRule="atLeast"/>
        <w:ind w:firstLine="540"/>
        <w:contextualSpacing/>
        <w:jc w:val="both"/>
        <w:rPr>
          <w:rFonts w:eastAsia="Calibri"/>
          <w:sz w:val="28"/>
          <w:szCs w:val="28"/>
        </w:rPr>
      </w:pPr>
    </w:p>
    <w:p w:rsidR="006E046F" w:rsidRPr="006E046F" w:rsidRDefault="006E046F" w:rsidP="006E046F">
      <w:pPr>
        <w:spacing w:line="20" w:lineRule="atLeast"/>
        <w:ind w:firstLine="540"/>
        <w:contextualSpacing/>
        <w:jc w:val="center"/>
        <w:rPr>
          <w:rFonts w:eastAsia="Calibri"/>
          <w:sz w:val="28"/>
          <w:szCs w:val="28"/>
        </w:rPr>
      </w:pPr>
      <w:r w:rsidRPr="006E046F">
        <w:rPr>
          <w:rFonts w:eastAsia="Calibri"/>
          <w:sz w:val="28"/>
          <w:szCs w:val="28"/>
        </w:rPr>
        <w:tab/>
      </w:r>
      <w:r w:rsidRPr="006E046F">
        <w:rPr>
          <w:rFonts w:eastAsia="Calibri"/>
          <w:sz w:val="28"/>
          <w:szCs w:val="28"/>
        </w:rPr>
        <w:tab/>
      </w:r>
      <w:r w:rsidRPr="006E046F">
        <w:rPr>
          <w:rFonts w:eastAsia="Calibri"/>
          <w:sz w:val="28"/>
          <w:szCs w:val="28"/>
        </w:rPr>
        <w:tab/>
        <w:t xml:space="preserve"> </w:t>
      </w:r>
      <w:r w:rsidRPr="006E046F">
        <w:rPr>
          <w:rFonts w:eastAsia="Calibri"/>
          <w:sz w:val="28"/>
          <w:szCs w:val="28"/>
        </w:rPr>
        <w:tab/>
      </w:r>
      <w:r w:rsidRPr="006E046F">
        <w:rPr>
          <w:rFonts w:eastAsia="Calibri"/>
          <w:sz w:val="28"/>
          <w:szCs w:val="28"/>
        </w:rPr>
        <w:tab/>
      </w:r>
      <w:r w:rsidRPr="006E046F">
        <w:rPr>
          <w:rFonts w:eastAsia="Calibri"/>
          <w:position w:val="-32"/>
          <w:sz w:val="28"/>
          <w:szCs w:val="28"/>
          <w:lang w:val="en-US"/>
        </w:rPr>
        <w:object w:dxaOrig="9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8.25pt" o:ole="">
            <v:imagedata r:id="rId6" o:title=""/>
          </v:shape>
          <o:OLEObject Type="Embed" ProgID="Equation.3" ShapeID="_x0000_i1025" DrawAspect="Content" ObjectID="_1535446809" r:id="rId7"/>
        </w:object>
      </w:r>
      <w:r w:rsidRPr="006E046F">
        <w:rPr>
          <w:rFonts w:eastAsia="Calibri"/>
          <w:sz w:val="28"/>
          <w:szCs w:val="28"/>
        </w:rPr>
        <w:tab/>
      </w:r>
      <w:r w:rsidRPr="006E046F">
        <w:rPr>
          <w:rFonts w:eastAsia="Calibri"/>
          <w:sz w:val="28"/>
          <w:szCs w:val="28"/>
        </w:rPr>
        <w:tab/>
      </w:r>
      <w:r w:rsidRPr="006E046F">
        <w:rPr>
          <w:rFonts w:eastAsia="Calibri"/>
          <w:sz w:val="28"/>
          <w:szCs w:val="28"/>
        </w:rPr>
        <w:tab/>
      </w:r>
      <w:r w:rsidRPr="006E046F">
        <w:rPr>
          <w:rFonts w:eastAsia="Calibri"/>
          <w:sz w:val="28"/>
          <w:szCs w:val="28"/>
        </w:rPr>
        <w:tab/>
      </w:r>
      <w:r w:rsidRPr="006E046F">
        <w:rPr>
          <w:rFonts w:eastAsia="Calibri"/>
          <w:sz w:val="28"/>
          <w:szCs w:val="28"/>
        </w:rPr>
        <w:tab/>
      </w:r>
      <w:r w:rsidRPr="006E046F">
        <w:rPr>
          <w:rFonts w:eastAsia="Calibri"/>
          <w:sz w:val="28"/>
          <w:szCs w:val="28"/>
        </w:rPr>
        <w:tab/>
        <w:t>(1)</w:t>
      </w:r>
    </w:p>
    <w:p w:rsidR="006E046F" w:rsidRPr="006E046F" w:rsidRDefault="006E046F" w:rsidP="006E046F">
      <w:pPr>
        <w:spacing w:line="20" w:lineRule="atLeast"/>
        <w:ind w:firstLine="540"/>
        <w:contextualSpacing/>
        <w:rPr>
          <w:rFonts w:eastAsia="Calibri"/>
          <w:sz w:val="28"/>
          <w:szCs w:val="28"/>
        </w:rPr>
      </w:pPr>
    </w:p>
    <w:p w:rsidR="006E046F" w:rsidRDefault="0003779E" w:rsidP="006E046F">
      <w:pPr>
        <w:spacing w:line="20" w:lineRule="atLeast"/>
        <w:ind w:firstLine="539"/>
        <w:contextualSpacing/>
        <w:jc w:val="both"/>
        <w:rPr>
          <w:rFonts w:eastAsia="Calibri"/>
          <w:sz w:val="28"/>
          <w:szCs w:val="28"/>
        </w:rPr>
      </w:pPr>
      <w:r>
        <w:rPr>
          <w:rFonts w:eastAsia="Calibri"/>
          <w:noProof/>
          <w:sz w:val="28"/>
          <w:szCs w:val="28"/>
        </w:rPr>
        <w:drawing>
          <wp:anchor distT="0" distB="0" distL="114300" distR="114300" simplePos="0" relativeHeight="251667456" behindDoc="1" locked="0" layoutInCell="1" allowOverlap="1">
            <wp:simplePos x="0" y="0"/>
            <wp:positionH relativeFrom="column">
              <wp:posOffset>3234869</wp:posOffset>
            </wp:positionH>
            <wp:positionV relativeFrom="paragraph">
              <wp:posOffset>1820976</wp:posOffset>
            </wp:positionV>
            <wp:extent cx="2629260" cy="1992702"/>
            <wp:effectExtent l="19050" t="0" r="0" b="0"/>
            <wp:wrapNone/>
            <wp:docPr id="8" name="Рисунок 4" descr="D:\Работа ИПХФ РАН Подлесный\Тезисы\минск не всрался он мне 300 лет блять\20 и 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та ИПХФ РАН Подлесный\Тезисы\минск не всрался он мне 300 лет блять\20 и 80.jpg"/>
                    <pic:cNvPicPr>
                      <a:picLocks noChangeAspect="1" noChangeArrowheads="1"/>
                    </pic:cNvPicPr>
                  </pic:nvPicPr>
                  <pic:blipFill>
                    <a:blip r:embed="rId8" cstate="print"/>
                    <a:srcRect/>
                    <a:stretch>
                      <a:fillRect/>
                    </a:stretch>
                  </pic:blipFill>
                  <pic:spPr bwMode="auto">
                    <a:xfrm>
                      <a:off x="0" y="0"/>
                      <a:ext cx="2629260" cy="1992702"/>
                    </a:xfrm>
                    <a:prstGeom prst="rect">
                      <a:avLst/>
                    </a:prstGeom>
                    <a:noFill/>
                    <a:ln w="9525">
                      <a:noFill/>
                      <a:miter lim="800000"/>
                      <a:headEnd/>
                      <a:tailEnd/>
                    </a:ln>
                  </pic:spPr>
                </pic:pic>
              </a:graphicData>
            </a:graphic>
          </wp:anchor>
        </w:drawing>
      </w:r>
      <w:proofErr w:type="gramStart"/>
      <w:r w:rsidR="006E046F" w:rsidRPr="006E046F">
        <w:rPr>
          <w:rFonts w:eastAsia="Calibri"/>
          <w:sz w:val="28"/>
          <w:szCs w:val="28"/>
        </w:rPr>
        <w:t>На Рис.3 показан пример расчета для смеси с 20</w:t>
      </w:r>
      <w:r w:rsidR="006E046F" w:rsidRPr="006E046F">
        <w:rPr>
          <w:rFonts w:eastAsia="Calibri"/>
          <w:i/>
          <w:sz w:val="28"/>
          <w:szCs w:val="28"/>
        </w:rPr>
        <w:t>%</w:t>
      </w:r>
      <w:r w:rsidR="006E046F" w:rsidRPr="006E046F">
        <w:rPr>
          <w:rFonts w:eastAsia="Calibri"/>
          <w:sz w:val="28"/>
          <w:szCs w:val="28"/>
        </w:rPr>
        <w:t xml:space="preserve"> содержанием мелкой фракции и углом наклона 45</w:t>
      </w:r>
      <w:r w:rsidR="006E046F" w:rsidRPr="006E046F">
        <w:rPr>
          <w:rFonts w:eastAsia="Calibri"/>
          <w:i/>
          <w:sz w:val="28"/>
          <w:szCs w:val="28"/>
          <w:vertAlign w:val="superscript"/>
        </w:rPr>
        <w:t xml:space="preserve">0 </w:t>
      </w:r>
      <w:r w:rsidR="006E046F" w:rsidRPr="006E046F">
        <w:rPr>
          <w:rFonts w:eastAsia="Calibri"/>
          <w:sz w:val="28"/>
          <w:szCs w:val="28"/>
        </w:rPr>
        <w:t xml:space="preserve">мгновенных значений </w:t>
      </w:r>
      <w:r w:rsidR="006E046F" w:rsidRPr="006E046F">
        <w:rPr>
          <w:rFonts w:eastAsia="Calibri"/>
          <w:i/>
          <w:sz w:val="28"/>
          <w:szCs w:val="28"/>
          <w:lang w:val="en-US"/>
        </w:rPr>
        <w:t>k</w:t>
      </w:r>
      <w:r w:rsidR="006E046F" w:rsidRPr="006E046F">
        <w:rPr>
          <w:rFonts w:eastAsia="Calibri"/>
          <w:i/>
          <w:sz w:val="28"/>
          <w:szCs w:val="28"/>
        </w:rPr>
        <w:t xml:space="preserve"> </w:t>
      </w:r>
      <w:r w:rsidR="006E046F" w:rsidRPr="006E046F">
        <w:rPr>
          <w:rFonts w:eastAsia="Calibri"/>
          <w:sz w:val="28"/>
          <w:szCs w:val="28"/>
        </w:rPr>
        <w:t>(на графике обозначено квадратными маркерами) и его среднее значение (пунктирная линия), а также для смеси с 80</w:t>
      </w:r>
      <w:r w:rsidR="006E046F" w:rsidRPr="006E046F">
        <w:rPr>
          <w:rFonts w:eastAsia="Calibri"/>
          <w:i/>
          <w:sz w:val="28"/>
          <w:szCs w:val="28"/>
        </w:rPr>
        <w:t>%</w:t>
      </w:r>
      <w:r w:rsidR="006E046F" w:rsidRPr="006E046F">
        <w:rPr>
          <w:rFonts w:eastAsia="Calibri"/>
          <w:sz w:val="28"/>
          <w:szCs w:val="28"/>
        </w:rPr>
        <w:t xml:space="preserve"> содержанием (круглыми маркерами), как видно на графике развитие неустойчивости фронта происходит в начале эксперимента, и за короткое время происходит полное разрушение его структуры</w:t>
      </w:r>
      <w:proofErr w:type="gramEnd"/>
      <w:r w:rsidR="006E046F" w:rsidRPr="006E046F">
        <w:rPr>
          <w:rFonts w:eastAsia="Calibri"/>
          <w:sz w:val="28"/>
          <w:szCs w:val="28"/>
        </w:rPr>
        <w:t xml:space="preserve">. Из (1) следует, что при стремлении </w:t>
      </w:r>
      <w:r w:rsidR="006E046F" w:rsidRPr="006E046F">
        <w:rPr>
          <w:rFonts w:eastAsia="Calibri"/>
          <w:i/>
          <w:sz w:val="28"/>
          <w:szCs w:val="28"/>
          <w:lang w:val="en-US"/>
        </w:rPr>
        <w:t>k</w:t>
      </w:r>
      <w:r w:rsidR="006E046F" w:rsidRPr="006E046F">
        <w:rPr>
          <w:rFonts w:eastAsia="Calibri"/>
          <w:i/>
          <w:sz w:val="28"/>
          <w:szCs w:val="28"/>
        </w:rPr>
        <w:t xml:space="preserve"> </w:t>
      </w:r>
      <w:r w:rsidR="006E046F" w:rsidRPr="006E046F">
        <w:rPr>
          <w:rFonts w:eastAsia="Calibri"/>
          <w:sz w:val="28"/>
          <w:szCs w:val="28"/>
        </w:rPr>
        <w:t xml:space="preserve">к 1 фронт горения становится более равномерным, и, соответственно, более устойчиво протекает процесс газификации. </w:t>
      </w:r>
    </w:p>
    <w:p w:rsidR="006E046F" w:rsidRDefault="009D5B68" w:rsidP="006E046F">
      <w:pPr>
        <w:spacing w:line="20" w:lineRule="atLeast"/>
        <w:ind w:firstLine="540"/>
        <w:contextualSpacing/>
        <w:jc w:val="both"/>
        <w:rPr>
          <w:rFonts w:eastAsia="Calibri"/>
        </w:rPr>
      </w:pPr>
      <w:r>
        <w:rPr>
          <w:rFonts w:eastAsia="Calibri"/>
          <w:noProof/>
        </w:rPr>
        <w:drawing>
          <wp:anchor distT="0" distB="0" distL="114300" distR="114300" simplePos="0" relativeHeight="251669504" behindDoc="0" locked="0" layoutInCell="1" allowOverlap="1">
            <wp:simplePos x="0" y="0"/>
            <wp:positionH relativeFrom="column">
              <wp:posOffset>489585</wp:posOffset>
            </wp:positionH>
            <wp:positionV relativeFrom="paragraph">
              <wp:posOffset>244475</wp:posOffset>
            </wp:positionV>
            <wp:extent cx="1672590" cy="1676400"/>
            <wp:effectExtent l="19050" t="0" r="3810" b="0"/>
            <wp:wrapTopAndBottom/>
            <wp:docPr id="3" name="Рисунок 2" descr="D:\Работа ИПХФ РАН Подлесный\Тезисы\минск не всрался он мне 300 лет блять\схема на мин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 ИПХФ РАН Подлесный\Тезисы\минск не всрался он мне 300 лет блять\схема на минск.jpg"/>
                    <pic:cNvPicPr>
                      <a:picLocks noChangeAspect="1" noChangeArrowheads="1"/>
                    </pic:cNvPicPr>
                  </pic:nvPicPr>
                  <pic:blipFill>
                    <a:blip r:embed="rId9" cstate="print"/>
                    <a:srcRect/>
                    <a:stretch>
                      <a:fillRect/>
                    </a:stretch>
                  </pic:blipFill>
                  <pic:spPr bwMode="auto">
                    <a:xfrm>
                      <a:off x="0" y="0"/>
                      <a:ext cx="1672590" cy="1676400"/>
                    </a:xfrm>
                    <a:prstGeom prst="rect">
                      <a:avLst/>
                    </a:prstGeom>
                    <a:noFill/>
                    <a:ln w="9525">
                      <a:noFill/>
                      <a:miter lim="800000"/>
                      <a:headEnd/>
                      <a:tailEnd/>
                    </a:ln>
                  </pic:spPr>
                </pic:pic>
              </a:graphicData>
            </a:graphic>
          </wp:anchor>
        </w:drawing>
      </w:r>
    </w:p>
    <w:p w:rsidR="006E046F" w:rsidRDefault="006E046F" w:rsidP="006E046F">
      <w:pPr>
        <w:spacing w:line="20" w:lineRule="atLeast"/>
        <w:contextualSpacing/>
        <w:rPr>
          <w:b/>
          <w:i/>
        </w:rPr>
      </w:pPr>
    </w:p>
    <w:p w:rsidR="006E046F" w:rsidRDefault="009D5B68" w:rsidP="006E046F">
      <w:pPr>
        <w:spacing w:line="20" w:lineRule="atLeast"/>
      </w:pPr>
      <w:r w:rsidRPr="003409FC">
        <w:rPr>
          <w:b/>
          <w:i/>
          <w:noProof/>
        </w:rPr>
        <w:pict>
          <v:shapetype id="_x0000_t202" coordsize="21600,21600" o:spt="202" path="m,l,21600r21600,l21600,xe">
            <v:stroke joinstyle="miter"/>
            <v:path gradientshapeok="t" o:connecttype="rect"/>
          </v:shapetype>
          <v:shape id="_x0000_s1027" type="#_x0000_t202" style="position:absolute;margin-left:248.9pt;margin-top:1.65pt;width:232.9pt;height:56.55pt;z-index:251661312;mso-width-relative:margin;mso-height-relative:margin" stroked="f">
            <v:textbox>
              <w:txbxContent>
                <w:p w:rsidR="006E046F" w:rsidRPr="009D5B68" w:rsidRDefault="006E046F" w:rsidP="006E046F">
                  <w:pPr>
                    <w:contextualSpacing/>
                    <w:jc w:val="center"/>
                  </w:pPr>
                  <w:r w:rsidRPr="009D5B68">
                    <w:t>Рис.3. Определение мгновенных и средних значений коэффициента неравномерности фронта горения.</w:t>
                  </w:r>
                </w:p>
                <w:p w:rsidR="006E046F" w:rsidRPr="009D5B68" w:rsidRDefault="006E046F" w:rsidP="006E046F">
                  <w:pPr>
                    <w:jc w:val="center"/>
                  </w:pPr>
                </w:p>
              </w:txbxContent>
            </v:textbox>
          </v:shape>
        </w:pict>
      </w:r>
      <w:r w:rsidR="003409FC" w:rsidRPr="003409FC">
        <w:rPr>
          <w:b/>
          <w:i/>
          <w:noProof/>
          <w:lang w:eastAsia="en-US"/>
        </w:rPr>
        <w:pict>
          <v:shape id="_x0000_s1026" type="#_x0000_t202" style="position:absolute;margin-left:-11.5pt;margin-top:.4pt;width:234.95pt;height:44.85pt;z-index:251660288;mso-width-relative:margin;mso-height-relative:margin" stroked="f">
            <v:textbox>
              <w:txbxContent>
                <w:p w:rsidR="006E046F" w:rsidRPr="009D5B68" w:rsidRDefault="006E046F" w:rsidP="006E046F">
                  <w:pPr>
                    <w:contextualSpacing/>
                    <w:jc w:val="center"/>
                  </w:pPr>
                  <w:r w:rsidRPr="009D5B68">
                    <w:t xml:space="preserve">Рис.2. К определению </w:t>
                  </w:r>
                  <w:proofErr w:type="gramStart"/>
                  <w:r w:rsidRPr="009D5B68">
                    <w:t>максимальной</w:t>
                  </w:r>
                  <w:proofErr w:type="gramEnd"/>
                </w:p>
                <w:p w:rsidR="006E046F" w:rsidRPr="009D5B68" w:rsidRDefault="006E046F" w:rsidP="006E046F">
                  <w:pPr>
                    <w:contextualSpacing/>
                    <w:jc w:val="center"/>
                  </w:pPr>
                  <w:r w:rsidRPr="009D5B68">
                    <w:t>и минимальной ширины фронта горения.</w:t>
                  </w:r>
                </w:p>
              </w:txbxContent>
            </v:textbox>
          </v:shape>
        </w:pict>
      </w:r>
    </w:p>
    <w:p w:rsidR="006E046F" w:rsidRDefault="006E046F" w:rsidP="006E046F">
      <w:pPr>
        <w:spacing w:line="20" w:lineRule="atLeast"/>
        <w:ind w:firstLine="567"/>
        <w:jc w:val="both"/>
      </w:pPr>
    </w:p>
    <w:p w:rsidR="006E046F" w:rsidRPr="0003779E" w:rsidRDefault="006E046F" w:rsidP="006E046F">
      <w:pPr>
        <w:spacing w:line="20" w:lineRule="atLeast"/>
        <w:ind w:firstLine="567"/>
        <w:jc w:val="both"/>
        <w:rPr>
          <w:snapToGrid w:val="0"/>
          <w:color w:val="000000"/>
          <w:w w:val="0"/>
          <w:sz w:val="28"/>
          <w:szCs w:val="28"/>
          <w:u w:color="000000"/>
          <w:bdr w:val="none" w:sz="0" w:space="0" w:color="000000"/>
          <w:shd w:val="clear" w:color="000000" w:fill="000000"/>
        </w:rPr>
      </w:pPr>
      <w:r w:rsidRPr="0003779E">
        <w:rPr>
          <w:sz w:val="28"/>
          <w:szCs w:val="28"/>
        </w:rPr>
        <w:lastRenderedPageBreak/>
        <w:t>На Рис.4. представлены результаты двух серий экспериментов с различными углами наклона реактора – 30</w:t>
      </w:r>
      <w:r w:rsidRPr="0003779E">
        <w:rPr>
          <w:i/>
          <w:sz w:val="28"/>
          <w:szCs w:val="28"/>
          <w:vertAlign w:val="superscript"/>
        </w:rPr>
        <w:t>0</w:t>
      </w:r>
      <w:r w:rsidRPr="0003779E">
        <w:rPr>
          <w:sz w:val="28"/>
          <w:szCs w:val="28"/>
        </w:rPr>
        <w:t xml:space="preserve"> и 45</w:t>
      </w:r>
      <w:r w:rsidRPr="0003779E">
        <w:rPr>
          <w:i/>
          <w:sz w:val="28"/>
          <w:szCs w:val="28"/>
          <w:vertAlign w:val="superscript"/>
        </w:rPr>
        <w:t>0</w:t>
      </w:r>
      <w:r w:rsidRPr="0003779E">
        <w:rPr>
          <w:sz w:val="28"/>
          <w:szCs w:val="28"/>
        </w:rPr>
        <w:t>. При содержании в топливе мелкой фракции от 0</w:t>
      </w:r>
      <w:r w:rsidRPr="0003779E">
        <w:rPr>
          <w:i/>
          <w:sz w:val="28"/>
          <w:szCs w:val="28"/>
        </w:rPr>
        <w:t xml:space="preserve">% </w:t>
      </w:r>
      <w:r w:rsidRPr="0003779E">
        <w:rPr>
          <w:sz w:val="28"/>
          <w:szCs w:val="28"/>
        </w:rPr>
        <w:t>до 60</w:t>
      </w:r>
      <w:r w:rsidRPr="0003779E">
        <w:rPr>
          <w:i/>
          <w:sz w:val="28"/>
          <w:szCs w:val="28"/>
        </w:rPr>
        <w:t>%</w:t>
      </w:r>
      <w:r w:rsidRPr="0003779E">
        <w:rPr>
          <w:sz w:val="28"/>
          <w:szCs w:val="28"/>
        </w:rPr>
        <w:t xml:space="preserve"> для обоих углов наклона значения </w:t>
      </w:r>
      <w:r w:rsidRPr="0003779E">
        <w:rPr>
          <w:i/>
          <w:sz w:val="28"/>
          <w:szCs w:val="28"/>
          <w:lang w:val="en-US"/>
        </w:rPr>
        <w:t>k</w:t>
      </w:r>
      <w:r w:rsidRPr="0003779E">
        <w:rPr>
          <w:i/>
          <w:sz w:val="28"/>
          <w:szCs w:val="28"/>
        </w:rPr>
        <w:t xml:space="preserve"> </w:t>
      </w:r>
      <w:r w:rsidRPr="0003779E">
        <w:rPr>
          <w:sz w:val="28"/>
          <w:szCs w:val="28"/>
        </w:rPr>
        <w:t>не превышают 1.2, что говорит о практически плоском фронте горения.</w:t>
      </w:r>
      <w:r w:rsidRPr="0003779E">
        <w:rPr>
          <w:i/>
          <w:sz w:val="28"/>
          <w:szCs w:val="28"/>
        </w:rPr>
        <w:t xml:space="preserve"> </w:t>
      </w:r>
      <w:r w:rsidRPr="0003779E">
        <w:rPr>
          <w:sz w:val="28"/>
          <w:szCs w:val="28"/>
        </w:rPr>
        <w:t>Оказалось, что при превышении содержания мелкой фракции в топливе выше 60</w:t>
      </w:r>
      <w:r w:rsidRPr="0003779E">
        <w:rPr>
          <w:i/>
          <w:sz w:val="28"/>
          <w:szCs w:val="28"/>
        </w:rPr>
        <w:t>%</w:t>
      </w:r>
      <w:r w:rsidRPr="0003779E">
        <w:rPr>
          <w:sz w:val="28"/>
          <w:szCs w:val="28"/>
        </w:rPr>
        <w:t xml:space="preserve"> происходят значительные искажения структуры фронта горения, которые могут приводить к нарушению протекания процесса газификации, значения коэффициента неравномерности резко возрастают. Эта область на графике заштрихована. Примеры подобных искажений представлены на Рис.5.</w:t>
      </w:r>
      <w:r w:rsidRPr="0003779E">
        <w:rPr>
          <w:snapToGrid w:val="0"/>
          <w:color w:val="000000"/>
          <w:w w:val="0"/>
          <w:sz w:val="28"/>
          <w:szCs w:val="28"/>
          <w:u w:color="000000"/>
          <w:bdr w:val="none" w:sz="0" w:space="0" w:color="000000"/>
          <w:shd w:val="clear" w:color="000000" w:fill="000000"/>
        </w:rPr>
        <w:t xml:space="preserve"> </w:t>
      </w:r>
    </w:p>
    <w:p w:rsidR="006E046F" w:rsidRPr="0003779E" w:rsidRDefault="006E046F" w:rsidP="006E046F">
      <w:pPr>
        <w:spacing w:line="20" w:lineRule="atLeast"/>
        <w:ind w:firstLine="567"/>
        <w:jc w:val="both"/>
        <w:rPr>
          <w:sz w:val="28"/>
          <w:szCs w:val="28"/>
        </w:rPr>
      </w:pPr>
      <w:r w:rsidRPr="0003779E">
        <w:rPr>
          <w:noProof/>
          <w:sz w:val="28"/>
          <w:szCs w:val="28"/>
        </w:rPr>
        <w:drawing>
          <wp:anchor distT="0" distB="0" distL="114300" distR="114300" simplePos="0" relativeHeight="251663360" behindDoc="1" locked="0" layoutInCell="1" allowOverlap="1">
            <wp:simplePos x="0" y="0"/>
            <wp:positionH relativeFrom="column">
              <wp:posOffset>3103209</wp:posOffset>
            </wp:positionH>
            <wp:positionV relativeFrom="paragraph">
              <wp:posOffset>254695</wp:posOffset>
            </wp:positionV>
            <wp:extent cx="3051953" cy="2225615"/>
            <wp:effectExtent l="19050" t="0" r="0" b="0"/>
            <wp:wrapNone/>
            <wp:docPr id="4" name="Рисунок 3" descr="D:\Работа ИПХФ РАН Подлесный\Тезисы\минск не всрался он мне 300 лет блять\примеры искаж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 ИПХФ РАН Подлесный\Тезисы\минск не всрался он мне 300 лет блять\примеры искажений.jpg"/>
                    <pic:cNvPicPr>
                      <a:picLocks noChangeAspect="1" noChangeArrowheads="1"/>
                    </pic:cNvPicPr>
                  </pic:nvPicPr>
                  <pic:blipFill>
                    <a:blip r:embed="rId10" cstate="print"/>
                    <a:srcRect/>
                    <a:stretch>
                      <a:fillRect/>
                    </a:stretch>
                  </pic:blipFill>
                  <pic:spPr bwMode="auto">
                    <a:xfrm>
                      <a:off x="0" y="0"/>
                      <a:ext cx="3051953" cy="2225615"/>
                    </a:xfrm>
                    <a:prstGeom prst="rect">
                      <a:avLst/>
                    </a:prstGeom>
                    <a:noFill/>
                    <a:ln w="9525">
                      <a:noFill/>
                      <a:miter lim="800000"/>
                      <a:headEnd/>
                      <a:tailEnd/>
                    </a:ln>
                  </pic:spPr>
                </pic:pic>
              </a:graphicData>
            </a:graphic>
          </wp:anchor>
        </w:drawing>
      </w:r>
    </w:p>
    <w:p w:rsidR="006E046F" w:rsidRPr="0003779E" w:rsidRDefault="006E046F" w:rsidP="006E046F">
      <w:pPr>
        <w:spacing w:line="20" w:lineRule="atLeast"/>
        <w:rPr>
          <w:sz w:val="28"/>
          <w:szCs w:val="28"/>
        </w:rPr>
      </w:pPr>
      <w:r w:rsidRPr="0003779E">
        <w:rPr>
          <w:noProof/>
          <w:sz w:val="28"/>
          <w:szCs w:val="28"/>
        </w:rPr>
        <w:drawing>
          <wp:anchor distT="0" distB="0" distL="114300" distR="114300" simplePos="0" relativeHeight="251665408" behindDoc="1" locked="0" layoutInCell="1" allowOverlap="1">
            <wp:simplePos x="0" y="0"/>
            <wp:positionH relativeFrom="column">
              <wp:posOffset>-116249</wp:posOffset>
            </wp:positionH>
            <wp:positionV relativeFrom="paragraph">
              <wp:posOffset>-103402</wp:posOffset>
            </wp:positionV>
            <wp:extent cx="3225508" cy="2466754"/>
            <wp:effectExtent l="19050" t="0" r="0" b="0"/>
            <wp:wrapNone/>
            <wp:docPr id="7" name="Рисунок 3" descr="D:\Работа ИПХФ РАН Подлесный\Тезисы\минск не всрался он мне 300 лет блять\коэф к для 30+45  раб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 ИПХФ РАН Подлесный\Тезисы\минск не всрался он мне 300 лет блять\коэф к для 30+45  рабица.jpg"/>
                    <pic:cNvPicPr>
                      <a:picLocks noChangeAspect="1" noChangeArrowheads="1"/>
                    </pic:cNvPicPr>
                  </pic:nvPicPr>
                  <pic:blipFill>
                    <a:blip r:embed="rId11" cstate="print"/>
                    <a:srcRect/>
                    <a:stretch>
                      <a:fillRect/>
                    </a:stretch>
                  </pic:blipFill>
                  <pic:spPr bwMode="auto">
                    <a:xfrm>
                      <a:off x="0" y="0"/>
                      <a:ext cx="3225508" cy="2466754"/>
                    </a:xfrm>
                    <a:prstGeom prst="rect">
                      <a:avLst/>
                    </a:prstGeom>
                    <a:noFill/>
                    <a:ln w="9525">
                      <a:noFill/>
                      <a:miter lim="800000"/>
                      <a:headEnd/>
                      <a:tailEnd/>
                    </a:ln>
                  </pic:spPr>
                </pic:pic>
              </a:graphicData>
            </a:graphic>
          </wp:anchor>
        </w:drawing>
      </w:r>
    </w:p>
    <w:p w:rsidR="006E046F" w:rsidRPr="0003779E" w:rsidRDefault="006E046F" w:rsidP="006E046F">
      <w:pPr>
        <w:spacing w:line="20" w:lineRule="atLeast"/>
        <w:rPr>
          <w:sz w:val="28"/>
          <w:szCs w:val="28"/>
        </w:rPr>
      </w:pPr>
    </w:p>
    <w:p w:rsidR="006E046F" w:rsidRPr="0003779E" w:rsidRDefault="006E046F" w:rsidP="006E046F">
      <w:pPr>
        <w:spacing w:line="20" w:lineRule="atLeast"/>
        <w:rPr>
          <w:sz w:val="28"/>
          <w:szCs w:val="28"/>
        </w:rPr>
      </w:pPr>
    </w:p>
    <w:p w:rsidR="006E046F" w:rsidRPr="0003779E" w:rsidRDefault="006E046F" w:rsidP="006E046F">
      <w:pPr>
        <w:spacing w:line="20" w:lineRule="atLeast"/>
        <w:rPr>
          <w:sz w:val="28"/>
          <w:szCs w:val="28"/>
        </w:rPr>
      </w:pPr>
    </w:p>
    <w:p w:rsidR="006E046F" w:rsidRPr="0003779E" w:rsidRDefault="006E046F" w:rsidP="006E046F">
      <w:pPr>
        <w:spacing w:line="20" w:lineRule="atLeast"/>
        <w:rPr>
          <w:sz w:val="28"/>
          <w:szCs w:val="28"/>
        </w:rPr>
      </w:pPr>
    </w:p>
    <w:p w:rsidR="006E046F" w:rsidRPr="0003779E" w:rsidRDefault="006E046F" w:rsidP="006E046F">
      <w:pPr>
        <w:spacing w:line="20" w:lineRule="atLeast"/>
        <w:jc w:val="both"/>
        <w:rPr>
          <w:sz w:val="28"/>
          <w:szCs w:val="28"/>
        </w:rPr>
      </w:pPr>
    </w:p>
    <w:p w:rsidR="006E046F" w:rsidRPr="0003779E" w:rsidRDefault="006E046F" w:rsidP="006E046F">
      <w:pPr>
        <w:spacing w:line="20" w:lineRule="atLeast"/>
        <w:jc w:val="both"/>
        <w:rPr>
          <w:sz w:val="28"/>
          <w:szCs w:val="28"/>
        </w:rPr>
      </w:pPr>
    </w:p>
    <w:p w:rsidR="006E046F" w:rsidRPr="0003779E" w:rsidRDefault="006E046F" w:rsidP="006E046F">
      <w:pPr>
        <w:spacing w:line="20" w:lineRule="atLeast"/>
        <w:jc w:val="both"/>
        <w:rPr>
          <w:sz w:val="28"/>
          <w:szCs w:val="28"/>
        </w:rPr>
      </w:pPr>
    </w:p>
    <w:p w:rsidR="006E046F" w:rsidRPr="0003779E" w:rsidRDefault="006E046F" w:rsidP="006E046F">
      <w:pPr>
        <w:spacing w:line="20" w:lineRule="atLeast"/>
        <w:ind w:firstLine="708"/>
        <w:jc w:val="both"/>
        <w:rPr>
          <w:sz w:val="28"/>
          <w:szCs w:val="28"/>
        </w:rPr>
      </w:pPr>
    </w:p>
    <w:p w:rsidR="006E046F" w:rsidRPr="0003779E" w:rsidRDefault="003409FC" w:rsidP="006E046F">
      <w:pPr>
        <w:spacing w:line="20" w:lineRule="atLeast"/>
        <w:ind w:firstLine="708"/>
        <w:jc w:val="both"/>
        <w:rPr>
          <w:sz w:val="28"/>
          <w:szCs w:val="28"/>
        </w:rPr>
      </w:pPr>
      <w:r w:rsidRPr="003409FC">
        <w:rPr>
          <w:b/>
          <w:i/>
          <w:noProof/>
          <w:sz w:val="28"/>
          <w:szCs w:val="28"/>
        </w:rPr>
        <w:pict>
          <v:shape id="_x0000_s1028" type="#_x0000_t202" style="position:absolute;left:0;text-align:left;margin-left:11.1pt;margin-top:8.95pt;width:233.55pt;height:32.25pt;z-index:251662336;mso-width-relative:margin;mso-height-relative:margin" stroked="f">
            <v:textbox style="mso-next-textbox:#_x0000_s1028">
              <w:txbxContent>
                <w:p w:rsidR="006E046F" w:rsidRPr="0013578C" w:rsidRDefault="006E046F" w:rsidP="006E046F">
                  <w:pPr>
                    <w:contextualSpacing/>
                    <w:jc w:val="center"/>
                    <w:rPr>
                      <w:sz w:val="20"/>
                      <w:szCs w:val="20"/>
                    </w:rPr>
                  </w:pPr>
                  <w:r>
                    <w:rPr>
                      <w:sz w:val="20"/>
                      <w:szCs w:val="20"/>
                    </w:rPr>
                    <w:t>Рис.4</w:t>
                  </w:r>
                  <w:r w:rsidRPr="0013578C">
                    <w:rPr>
                      <w:sz w:val="20"/>
                      <w:szCs w:val="20"/>
                    </w:rPr>
                    <w:t xml:space="preserve">. </w:t>
                  </w:r>
                  <w:r>
                    <w:rPr>
                      <w:sz w:val="20"/>
                      <w:szCs w:val="20"/>
                    </w:rPr>
                    <w:t xml:space="preserve">Значения средних коэффициентов неравномерности фронта горения </w:t>
                  </w:r>
                </w:p>
              </w:txbxContent>
            </v:textbox>
          </v:shape>
        </w:pict>
      </w:r>
    </w:p>
    <w:p w:rsidR="006E046F" w:rsidRPr="0003779E" w:rsidRDefault="006E046F" w:rsidP="006E046F">
      <w:pPr>
        <w:spacing w:line="20" w:lineRule="atLeast"/>
        <w:ind w:firstLine="708"/>
        <w:jc w:val="both"/>
        <w:rPr>
          <w:sz w:val="28"/>
          <w:szCs w:val="28"/>
        </w:rPr>
      </w:pPr>
    </w:p>
    <w:p w:rsidR="006E046F" w:rsidRPr="0003779E" w:rsidRDefault="006E046F" w:rsidP="006E046F">
      <w:pPr>
        <w:spacing w:line="20" w:lineRule="atLeast"/>
        <w:ind w:firstLine="708"/>
        <w:jc w:val="both"/>
        <w:rPr>
          <w:sz w:val="28"/>
          <w:szCs w:val="28"/>
        </w:rPr>
      </w:pPr>
    </w:p>
    <w:p w:rsidR="006E046F" w:rsidRPr="0003779E" w:rsidRDefault="009D5B68" w:rsidP="006E046F">
      <w:pPr>
        <w:spacing w:line="20" w:lineRule="atLeast"/>
        <w:ind w:firstLine="708"/>
        <w:jc w:val="both"/>
        <w:rPr>
          <w:sz w:val="28"/>
          <w:szCs w:val="28"/>
        </w:rPr>
      </w:pPr>
      <w:r w:rsidRPr="003409FC">
        <w:rPr>
          <w:b/>
          <w:i/>
          <w:noProof/>
          <w:sz w:val="28"/>
          <w:szCs w:val="28"/>
        </w:rPr>
        <w:pict>
          <v:shape id="_x0000_s1029" type="#_x0000_t202" style="position:absolute;left:0;text-align:left;margin-left:234.65pt;margin-top:12.15pt;width:246.4pt;height:41.25pt;z-index:251664384;mso-width-relative:margin;mso-height-relative:margin" stroked="f">
            <v:textbox style="mso-next-textbox:#_x0000_s1029">
              <w:txbxContent>
                <w:p w:rsidR="006E046F" w:rsidRPr="009D5B68" w:rsidRDefault="006E046F" w:rsidP="006E046F">
                  <w:pPr>
                    <w:contextualSpacing/>
                    <w:jc w:val="center"/>
                  </w:pPr>
                  <w:r w:rsidRPr="009D5B68">
                    <w:t xml:space="preserve">Рис.5. Примеры искажений фронта горения: </w:t>
                  </w:r>
                </w:p>
                <w:p w:rsidR="006E046F" w:rsidRPr="009D5B68" w:rsidRDefault="006E046F" w:rsidP="006E046F">
                  <w:pPr>
                    <w:contextualSpacing/>
                    <w:jc w:val="center"/>
                  </w:pPr>
                  <w:r w:rsidRPr="009D5B68">
                    <w:rPr>
                      <w:i/>
                    </w:rPr>
                    <w:t>а</w:t>
                  </w:r>
                  <w:r w:rsidRPr="009D5B68">
                    <w:t xml:space="preserve"> – наклон 30</w:t>
                  </w:r>
                  <w:r w:rsidRPr="009D5B68">
                    <w:rPr>
                      <w:vertAlign w:val="superscript"/>
                    </w:rPr>
                    <w:t>0</w:t>
                  </w:r>
                  <w:r w:rsidRPr="009D5B68">
                    <w:t xml:space="preserve">, </w:t>
                  </w:r>
                  <w:r w:rsidRPr="009D5B68">
                    <w:rPr>
                      <w:i/>
                    </w:rPr>
                    <w:t>б</w:t>
                  </w:r>
                  <w:r w:rsidRPr="009D5B68">
                    <w:t xml:space="preserve"> – наклон 45</w:t>
                  </w:r>
                  <w:r w:rsidRPr="009D5B68">
                    <w:rPr>
                      <w:vertAlign w:val="superscript"/>
                    </w:rPr>
                    <w:t>0</w:t>
                  </w:r>
                  <w:r w:rsidRPr="009D5B68">
                    <w:t xml:space="preserve">. </w:t>
                  </w:r>
                </w:p>
              </w:txbxContent>
            </v:textbox>
          </v:shape>
        </w:pict>
      </w:r>
      <w:r>
        <w:rPr>
          <w:noProof/>
          <w:sz w:val="28"/>
          <w:szCs w:val="28"/>
        </w:rPr>
        <w:pict>
          <v:shape id="_x0000_s1030" type="#_x0000_t202" style="position:absolute;left:0;text-align:left;margin-left:-6.4pt;margin-top:13.1pt;width:241.05pt;height:39.75pt;z-index:251668480;mso-width-relative:margin;mso-height-relative:margin" stroked="f">
            <v:textbox style="mso-next-textbox:#_x0000_s1030">
              <w:txbxContent>
                <w:p w:rsidR="0003779E" w:rsidRPr="009D5B68" w:rsidRDefault="0003779E" w:rsidP="0003779E">
                  <w:pPr>
                    <w:contextualSpacing/>
                    <w:jc w:val="center"/>
                  </w:pPr>
                  <w:r w:rsidRPr="009D5B68">
                    <w:t xml:space="preserve">Рис.4. Значения средних коэффициентов неравномерности фронта горения </w:t>
                  </w:r>
                </w:p>
              </w:txbxContent>
            </v:textbox>
          </v:shape>
        </w:pict>
      </w:r>
    </w:p>
    <w:p w:rsidR="0003779E" w:rsidRPr="0003779E" w:rsidRDefault="0003779E" w:rsidP="006E046F">
      <w:pPr>
        <w:spacing w:line="20" w:lineRule="atLeast"/>
        <w:ind w:firstLine="708"/>
        <w:jc w:val="both"/>
        <w:rPr>
          <w:sz w:val="28"/>
          <w:szCs w:val="28"/>
        </w:rPr>
      </w:pPr>
    </w:p>
    <w:p w:rsidR="0003779E" w:rsidRPr="0003779E" w:rsidRDefault="0003779E" w:rsidP="006E046F">
      <w:pPr>
        <w:spacing w:line="20" w:lineRule="atLeast"/>
        <w:ind w:firstLine="708"/>
        <w:jc w:val="both"/>
        <w:rPr>
          <w:sz w:val="28"/>
          <w:szCs w:val="28"/>
        </w:rPr>
      </w:pPr>
    </w:p>
    <w:p w:rsidR="0003779E" w:rsidRPr="0003779E" w:rsidRDefault="0003779E" w:rsidP="006E046F">
      <w:pPr>
        <w:spacing w:line="20" w:lineRule="atLeast"/>
        <w:ind w:firstLine="708"/>
        <w:jc w:val="both"/>
        <w:rPr>
          <w:sz w:val="28"/>
          <w:szCs w:val="28"/>
        </w:rPr>
      </w:pPr>
    </w:p>
    <w:p w:rsidR="006E046F" w:rsidRPr="0003779E" w:rsidRDefault="006E046F" w:rsidP="0003779E">
      <w:pPr>
        <w:ind w:firstLine="708"/>
        <w:jc w:val="both"/>
        <w:rPr>
          <w:sz w:val="28"/>
          <w:szCs w:val="28"/>
        </w:rPr>
      </w:pPr>
      <w:r w:rsidRPr="0003779E">
        <w:rPr>
          <w:sz w:val="28"/>
          <w:szCs w:val="28"/>
        </w:rPr>
        <w:t xml:space="preserve">В работе предложен способ характеристики устойчивости фронта фильтрационного горения, позволяющий оценить его максимальные отклонения от его нормального состояния. Были проведены две серии экспериментов при разных углах наклона реактора с различным процентным содержанием мелкой фракции в топливе. </w:t>
      </w:r>
    </w:p>
    <w:p w:rsidR="006E046F" w:rsidRDefault="006E046F" w:rsidP="0003779E">
      <w:pPr>
        <w:ind w:firstLine="708"/>
        <w:jc w:val="both"/>
        <w:rPr>
          <w:sz w:val="28"/>
          <w:szCs w:val="28"/>
        </w:rPr>
      </w:pPr>
      <w:proofErr w:type="gramStart"/>
      <w:r w:rsidRPr="0003779E">
        <w:rPr>
          <w:sz w:val="28"/>
          <w:szCs w:val="28"/>
        </w:rPr>
        <w:t>Было показано, что при выбранных параметрах эксперимента, наблюдается стабильное протекание процесса (с незначительными флуктуациями) в тех случаях, когда процентное содержание мелкой фракции не превышает 60</w:t>
      </w:r>
      <w:r w:rsidRPr="0003779E">
        <w:rPr>
          <w:i/>
          <w:sz w:val="28"/>
          <w:szCs w:val="28"/>
        </w:rPr>
        <w:t>%</w:t>
      </w:r>
      <w:r w:rsidRPr="0003779E">
        <w:rPr>
          <w:sz w:val="28"/>
          <w:szCs w:val="28"/>
        </w:rPr>
        <w:t>. Дальнейшее увеличение содержания мелкой фракции в топливе приводит к нарушению структуры фронта горения, что, скорее всего, связано с ухудшениями фильтрационных характеристик смеси в виду локальных скоплений мелких частиц топлива, в результате чего происходит нарушение равномерности</w:t>
      </w:r>
      <w:proofErr w:type="gramEnd"/>
      <w:r w:rsidRPr="0003779E">
        <w:rPr>
          <w:sz w:val="28"/>
          <w:szCs w:val="28"/>
        </w:rPr>
        <w:t xml:space="preserve"> фильтрации газообразного окислителя по объему реактора. </w:t>
      </w:r>
    </w:p>
    <w:p w:rsidR="0003779E" w:rsidRDefault="0003779E" w:rsidP="0003779E">
      <w:pPr>
        <w:ind w:firstLine="708"/>
        <w:jc w:val="both"/>
        <w:rPr>
          <w:sz w:val="28"/>
          <w:szCs w:val="28"/>
        </w:rPr>
      </w:pPr>
    </w:p>
    <w:p w:rsidR="0003779E" w:rsidRPr="007E21EF" w:rsidRDefault="0003779E" w:rsidP="0003779E">
      <w:pPr>
        <w:ind w:firstLine="708"/>
        <w:jc w:val="both"/>
        <w:rPr>
          <w:i/>
          <w:sz w:val="28"/>
          <w:szCs w:val="28"/>
        </w:rPr>
      </w:pPr>
      <w:r w:rsidRPr="007E21EF">
        <w:rPr>
          <w:i/>
          <w:iCs/>
          <w:color w:val="000000"/>
          <w:sz w:val="28"/>
          <w:szCs w:val="28"/>
          <w:shd w:val="clear" w:color="auto" w:fill="FFFFFF"/>
        </w:rPr>
        <w:t xml:space="preserve">Работа выполнена при </w:t>
      </w:r>
      <w:r w:rsidR="007E21EF" w:rsidRPr="007E21EF">
        <w:rPr>
          <w:i/>
          <w:iCs/>
          <w:color w:val="000000"/>
          <w:sz w:val="28"/>
          <w:szCs w:val="28"/>
          <w:shd w:val="clear" w:color="auto" w:fill="FFFFFF"/>
        </w:rPr>
        <w:t>финансовой</w:t>
      </w:r>
      <w:r w:rsidRPr="007E21EF">
        <w:rPr>
          <w:i/>
          <w:iCs/>
          <w:color w:val="000000"/>
          <w:sz w:val="28"/>
          <w:szCs w:val="28"/>
          <w:shd w:val="clear" w:color="auto" w:fill="FFFFFF"/>
        </w:rPr>
        <w:t xml:space="preserve"> поддержке программ</w:t>
      </w:r>
      <w:r w:rsidR="007E21EF">
        <w:rPr>
          <w:i/>
          <w:iCs/>
          <w:color w:val="000000"/>
          <w:sz w:val="28"/>
          <w:szCs w:val="28"/>
          <w:shd w:val="clear" w:color="auto" w:fill="FFFFFF"/>
        </w:rPr>
        <w:t>ы Российского ф</w:t>
      </w:r>
      <w:r w:rsidR="007E21EF" w:rsidRPr="007E21EF">
        <w:rPr>
          <w:i/>
          <w:iCs/>
          <w:color w:val="000000"/>
          <w:sz w:val="28"/>
          <w:szCs w:val="28"/>
          <w:shd w:val="clear" w:color="auto" w:fill="FFFFFF"/>
        </w:rPr>
        <w:t>онда фундаментальных исследований №</w:t>
      </w:r>
      <w:r w:rsidR="007E21EF" w:rsidRPr="007E21EF">
        <w:rPr>
          <w:i/>
          <w:sz w:val="28"/>
          <w:szCs w:val="28"/>
        </w:rPr>
        <w:t>16-33-00776</w:t>
      </w:r>
      <w:r w:rsidR="007E21EF">
        <w:rPr>
          <w:i/>
          <w:sz w:val="28"/>
          <w:szCs w:val="28"/>
        </w:rPr>
        <w:t>.</w:t>
      </w:r>
    </w:p>
    <w:p w:rsidR="006E046F" w:rsidRPr="0003779E" w:rsidRDefault="006E046F" w:rsidP="0003779E">
      <w:pPr>
        <w:ind w:firstLine="539"/>
        <w:contextualSpacing/>
        <w:jc w:val="both"/>
        <w:rPr>
          <w:rFonts w:eastAsia="Calibri"/>
          <w:sz w:val="28"/>
          <w:szCs w:val="28"/>
        </w:rPr>
      </w:pPr>
    </w:p>
    <w:sectPr w:rsidR="006E046F" w:rsidRPr="0003779E" w:rsidSect="00FD37A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C63"/>
    <w:rsid w:val="0003779E"/>
    <w:rsid w:val="000779F5"/>
    <w:rsid w:val="000A4B9D"/>
    <w:rsid w:val="003409FC"/>
    <w:rsid w:val="005129C9"/>
    <w:rsid w:val="00574D35"/>
    <w:rsid w:val="005B3EC6"/>
    <w:rsid w:val="00670C63"/>
    <w:rsid w:val="006E046F"/>
    <w:rsid w:val="007D5C73"/>
    <w:rsid w:val="007E21EF"/>
    <w:rsid w:val="008B42DA"/>
    <w:rsid w:val="009D5B68"/>
    <w:rsid w:val="00B22F86"/>
    <w:rsid w:val="00BB5ED4"/>
    <w:rsid w:val="00F21129"/>
    <w:rsid w:val="00F34EF0"/>
    <w:rsid w:val="00FD3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0C63"/>
    <w:rPr>
      <w:color w:val="0000FF"/>
      <w:u w:val="single"/>
    </w:rPr>
  </w:style>
  <w:style w:type="paragraph" w:styleId="a4">
    <w:name w:val="Balloon Text"/>
    <w:basedOn w:val="a"/>
    <w:link w:val="a5"/>
    <w:uiPriority w:val="99"/>
    <w:semiHidden/>
    <w:unhideWhenUsed/>
    <w:rsid w:val="006E046F"/>
    <w:rPr>
      <w:rFonts w:ascii="Tahoma" w:hAnsi="Tahoma" w:cs="Tahoma"/>
      <w:sz w:val="16"/>
      <w:szCs w:val="16"/>
    </w:rPr>
  </w:style>
  <w:style w:type="character" w:customStyle="1" w:styleId="a5">
    <w:name w:val="Текст выноски Знак"/>
    <w:basedOn w:val="a0"/>
    <w:link w:val="a4"/>
    <w:uiPriority w:val="99"/>
    <w:semiHidden/>
    <w:rsid w:val="006E046F"/>
    <w:rPr>
      <w:rFonts w:ascii="Tahoma" w:eastAsia="Times New Roman" w:hAnsi="Tahoma" w:cs="Tahoma"/>
      <w:sz w:val="16"/>
      <w:szCs w:val="16"/>
      <w:lang w:eastAsia="ru-RU"/>
    </w:rPr>
  </w:style>
  <w:style w:type="paragraph" w:styleId="a6">
    <w:name w:val="Normal (Web)"/>
    <w:basedOn w:val="a"/>
    <w:uiPriority w:val="99"/>
    <w:semiHidden/>
    <w:unhideWhenUsed/>
    <w:rsid w:val="006E04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23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hyperlink" Target="mailto:velkovskaya.i@gmail.com" TargetMode="Externa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2016-09-15T07:01:00Z</dcterms:created>
  <dcterms:modified xsi:type="dcterms:W3CDTF">2016-09-15T09:14:00Z</dcterms:modified>
</cp:coreProperties>
</file>