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12" w:rsidRPr="00820FBA" w:rsidRDefault="00C41E70" w:rsidP="00C41E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FBA">
        <w:rPr>
          <w:rFonts w:ascii="Times New Roman" w:hAnsi="Times New Roman"/>
          <w:b/>
          <w:sz w:val="28"/>
          <w:szCs w:val="28"/>
        </w:rPr>
        <w:t>Роль</w:t>
      </w:r>
      <w:r w:rsidR="00044612" w:rsidRPr="00820FBA">
        <w:rPr>
          <w:rFonts w:ascii="Times New Roman" w:hAnsi="Times New Roman"/>
          <w:b/>
          <w:sz w:val="28"/>
          <w:szCs w:val="28"/>
        </w:rPr>
        <w:t xml:space="preserve"> государственно</w:t>
      </w:r>
      <w:r w:rsidR="00BF0B55" w:rsidRPr="00820FBA">
        <w:rPr>
          <w:rFonts w:ascii="Times New Roman" w:hAnsi="Times New Roman"/>
          <w:b/>
          <w:sz w:val="28"/>
          <w:szCs w:val="28"/>
        </w:rPr>
        <w:t xml:space="preserve">-частного </w:t>
      </w:r>
      <w:r w:rsidR="00044612" w:rsidRPr="00820FBA">
        <w:rPr>
          <w:rFonts w:ascii="Times New Roman" w:hAnsi="Times New Roman"/>
          <w:b/>
          <w:sz w:val="28"/>
          <w:szCs w:val="28"/>
        </w:rPr>
        <w:t>партнерства</w:t>
      </w:r>
      <w:r w:rsidRPr="00820FBA">
        <w:rPr>
          <w:rFonts w:ascii="Times New Roman" w:hAnsi="Times New Roman"/>
          <w:b/>
          <w:sz w:val="28"/>
          <w:szCs w:val="28"/>
        </w:rPr>
        <w:t xml:space="preserve"> в </w:t>
      </w:r>
      <w:r w:rsidR="00044612" w:rsidRPr="00820FBA">
        <w:rPr>
          <w:rFonts w:ascii="Times New Roman" w:hAnsi="Times New Roman"/>
          <w:b/>
          <w:sz w:val="28"/>
          <w:szCs w:val="28"/>
        </w:rPr>
        <w:t>развити</w:t>
      </w:r>
      <w:r w:rsidRPr="00820FBA">
        <w:rPr>
          <w:rFonts w:ascii="Times New Roman" w:hAnsi="Times New Roman"/>
          <w:b/>
          <w:sz w:val="28"/>
          <w:szCs w:val="28"/>
        </w:rPr>
        <w:t>и</w:t>
      </w:r>
      <w:r w:rsidR="00044612" w:rsidRPr="00820FBA">
        <w:rPr>
          <w:rFonts w:ascii="Times New Roman" w:hAnsi="Times New Roman"/>
          <w:b/>
          <w:sz w:val="28"/>
          <w:szCs w:val="28"/>
        </w:rPr>
        <w:t xml:space="preserve"> инфраструктуры связи </w:t>
      </w:r>
    </w:p>
    <w:p w:rsidR="00DC6B72" w:rsidRPr="00820FBA" w:rsidRDefault="00DC6B72" w:rsidP="00DC6B7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820FBA">
        <w:rPr>
          <w:rFonts w:ascii="Times New Roman" w:hAnsi="Times New Roman"/>
          <w:b/>
          <w:sz w:val="28"/>
          <w:szCs w:val="28"/>
        </w:rPr>
        <w:t>Владимиров Ю.Л.</w:t>
      </w:r>
    </w:p>
    <w:p w:rsidR="00DC6B72" w:rsidRPr="00820FBA" w:rsidRDefault="00DC6B72" w:rsidP="00DC6B7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820FBA">
        <w:rPr>
          <w:rFonts w:ascii="Times New Roman" w:hAnsi="Times New Roman"/>
          <w:b/>
          <w:sz w:val="28"/>
          <w:szCs w:val="28"/>
        </w:rPr>
        <w:t>Шерешева М.Ю.</w:t>
      </w:r>
    </w:p>
    <w:p w:rsidR="008574F3" w:rsidRPr="00820FBA" w:rsidRDefault="008574F3" w:rsidP="007126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B6E56" w:rsidRPr="00820FBA" w:rsidRDefault="00EB6E56" w:rsidP="00BF0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В</w:t>
      </w:r>
      <w:r w:rsidR="00C41E70" w:rsidRPr="00820FBA">
        <w:rPr>
          <w:rFonts w:ascii="Times New Roman" w:hAnsi="Times New Roman"/>
          <w:sz w:val="28"/>
          <w:szCs w:val="28"/>
        </w:rPr>
        <w:t xml:space="preserve"> данной главе рассмотрены в</w:t>
      </w:r>
      <w:r w:rsidRPr="00820FBA">
        <w:rPr>
          <w:rFonts w:ascii="Times New Roman" w:hAnsi="Times New Roman"/>
          <w:sz w:val="28"/>
          <w:szCs w:val="28"/>
        </w:rPr>
        <w:t>озможности и перспективы стимулирования развития инфраструктуры связи в РФ</w:t>
      </w:r>
      <w:r w:rsidR="00C41E70" w:rsidRPr="00820FBA">
        <w:rPr>
          <w:rFonts w:ascii="Times New Roman" w:hAnsi="Times New Roman"/>
          <w:sz w:val="28"/>
          <w:szCs w:val="28"/>
        </w:rPr>
        <w:t xml:space="preserve"> с использованием государственно-частного партнерства. Рассмотрена с</w:t>
      </w:r>
      <w:r w:rsidRPr="00820FBA">
        <w:rPr>
          <w:rFonts w:ascii="Times New Roman" w:hAnsi="Times New Roman"/>
          <w:sz w:val="28"/>
          <w:szCs w:val="28"/>
        </w:rPr>
        <w:t>овременная российская и мировая практика государственно-частного партнерства</w:t>
      </w:r>
      <w:r w:rsidR="00C41E70" w:rsidRPr="00820FBA">
        <w:rPr>
          <w:rFonts w:ascii="Times New Roman" w:hAnsi="Times New Roman"/>
          <w:sz w:val="28"/>
          <w:szCs w:val="28"/>
        </w:rPr>
        <w:t>,</w:t>
      </w:r>
      <w:r w:rsidR="002732C3" w:rsidRPr="00820FBA">
        <w:rPr>
          <w:rFonts w:ascii="Times New Roman" w:hAnsi="Times New Roman"/>
          <w:sz w:val="28"/>
          <w:szCs w:val="28"/>
        </w:rPr>
        <w:t xml:space="preserve"> </w:t>
      </w:r>
      <w:r w:rsidR="00BF0B55" w:rsidRPr="00820FBA">
        <w:rPr>
          <w:rFonts w:ascii="Times New Roman" w:hAnsi="Times New Roman"/>
          <w:sz w:val="28"/>
          <w:szCs w:val="28"/>
        </w:rPr>
        <w:t xml:space="preserve">возможности и ограничения механизма ГЧП, </w:t>
      </w:r>
      <w:r w:rsidR="002732C3" w:rsidRPr="00820FBA">
        <w:rPr>
          <w:rFonts w:ascii="Times New Roman" w:hAnsi="Times New Roman"/>
          <w:sz w:val="28"/>
          <w:szCs w:val="28"/>
        </w:rPr>
        <w:t xml:space="preserve">определена важность и необходимость мер по государственной  поддержке отрасли связи и инфраструктуры связи, обоснованы </w:t>
      </w:r>
      <w:r w:rsidR="00BF0B55" w:rsidRPr="00820FBA">
        <w:rPr>
          <w:rFonts w:ascii="Times New Roman" w:hAnsi="Times New Roman"/>
          <w:sz w:val="28"/>
          <w:szCs w:val="28"/>
        </w:rPr>
        <w:t>н</w:t>
      </w:r>
      <w:r w:rsidRPr="00820FBA">
        <w:rPr>
          <w:rFonts w:ascii="Times New Roman" w:hAnsi="Times New Roman"/>
          <w:sz w:val="28"/>
          <w:szCs w:val="28"/>
        </w:rPr>
        <w:t xml:space="preserve">аправления </w:t>
      </w:r>
      <w:r w:rsidR="00D40437" w:rsidRPr="00820FBA">
        <w:rPr>
          <w:rFonts w:ascii="Times New Roman" w:hAnsi="Times New Roman"/>
          <w:sz w:val="28"/>
          <w:szCs w:val="28"/>
        </w:rPr>
        <w:t>и предложения по совершенствованию</w:t>
      </w:r>
      <w:r w:rsidRPr="00820FBA">
        <w:rPr>
          <w:rFonts w:ascii="Times New Roman" w:hAnsi="Times New Roman"/>
          <w:sz w:val="28"/>
          <w:szCs w:val="28"/>
        </w:rPr>
        <w:t xml:space="preserve"> механизма государственно частного партнерства</w:t>
      </w:r>
      <w:r w:rsidR="00BF0B55" w:rsidRPr="00820FBA">
        <w:rPr>
          <w:rFonts w:ascii="Times New Roman" w:hAnsi="Times New Roman"/>
          <w:sz w:val="28"/>
          <w:szCs w:val="28"/>
        </w:rPr>
        <w:t>.</w:t>
      </w:r>
    </w:p>
    <w:p w:rsidR="00703591" w:rsidRPr="00820FBA" w:rsidRDefault="00703591" w:rsidP="00EB6E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1E70" w:rsidRPr="00820FBA" w:rsidRDefault="00C41E70" w:rsidP="0071261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0FBA">
        <w:rPr>
          <w:rFonts w:ascii="Times New Roman" w:hAnsi="Times New Roman"/>
          <w:b/>
          <w:sz w:val="28"/>
          <w:szCs w:val="28"/>
        </w:rPr>
        <w:t>Введение</w:t>
      </w:r>
    </w:p>
    <w:p w:rsidR="00BF0B55" w:rsidRDefault="006373D6" w:rsidP="00BF0B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Годы устойчивого экономического роста экономики России сменились кризис</w:t>
      </w:r>
      <w:r w:rsidR="002732C3" w:rsidRPr="00820FBA">
        <w:rPr>
          <w:rFonts w:ascii="Times New Roman" w:hAnsi="Times New Roman"/>
          <w:sz w:val="28"/>
          <w:szCs w:val="28"/>
        </w:rPr>
        <w:t>ом, дополнительно усиленным санкциями и падением цен на нефть</w:t>
      </w:r>
      <w:r w:rsidRPr="00820FBA">
        <w:rPr>
          <w:rFonts w:ascii="Times New Roman" w:hAnsi="Times New Roman"/>
          <w:sz w:val="28"/>
          <w:szCs w:val="28"/>
        </w:rPr>
        <w:t xml:space="preserve">. </w:t>
      </w:r>
      <w:r w:rsidR="002732C3" w:rsidRPr="00820FBA">
        <w:rPr>
          <w:rFonts w:ascii="Times New Roman" w:hAnsi="Times New Roman"/>
          <w:sz w:val="28"/>
          <w:szCs w:val="28"/>
        </w:rPr>
        <w:t xml:space="preserve">При этом приходится констатировать, что период устойчивого экономического роста России не привел к значительному притоку инвестиций в инфраструктурную сферу. </w:t>
      </w:r>
      <w:r w:rsidR="00BF0B55" w:rsidRPr="00820FBA">
        <w:rPr>
          <w:rFonts w:ascii="Times New Roman" w:hAnsi="Times New Roman"/>
          <w:sz w:val="28"/>
          <w:szCs w:val="28"/>
        </w:rPr>
        <w:t xml:space="preserve">Текущая ситуация – это ситуация, в которой существует дилемма: остаться страной, чья экономика в значительной мере ориентирована на экспорт природных ресурсов, или выработать новые методы и подходы, позволяющие развивать конкурентоспособную отечественную промышленность и инновационные технологии. </w:t>
      </w:r>
      <w:r w:rsidR="002732C3" w:rsidRPr="00820FBA">
        <w:rPr>
          <w:rFonts w:ascii="Times New Roman" w:hAnsi="Times New Roman"/>
          <w:sz w:val="28"/>
          <w:szCs w:val="28"/>
        </w:rPr>
        <w:t xml:space="preserve">Очевидная зависимость экономики России от экспорта природных ресурсов является фактором, требующим пересмотра приоритетов государственной экономической политики. </w:t>
      </w:r>
    </w:p>
    <w:p w:rsidR="0052474C" w:rsidRPr="00611FB5" w:rsidRDefault="0052474C" w:rsidP="005247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98D"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r>
        <w:rPr>
          <w:rFonts w:ascii="Times New Roman" w:hAnsi="Times New Roman"/>
          <w:sz w:val="28"/>
          <w:szCs w:val="28"/>
        </w:rPr>
        <w:t>«</w:t>
      </w:r>
      <w:r w:rsidRPr="00B7698D">
        <w:rPr>
          <w:rFonts w:ascii="Times New Roman" w:hAnsi="Times New Roman"/>
          <w:sz w:val="28"/>
          <w:szCs w:val="28"/>
        </w:rPr>
        <w:t>Концепции социально-экономического развития России до 2020 года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a"/>
          <w:rFonts w:ascii="Times New Roman" w:hAnsi="Times New Roman"/>
          <w:sz w:val="28"/>
          <w:szCs w:val="28"/>
        </w:rPr>
        <w:footnoteReference w:id="1"/>
      </w:r>
      <w:r w:rsidRPr="00B7698D">
        <w:rPr>
          <w:rFonts w:ascii="Times New Roman" w:hAnsi="Times New Roman"/>
          <w:sz w:val="28"/>
          <w:szCs w:val="28"/>
        </w:rPr>
        <w:t>, п</w:t>
      </w:r>
      <w:r w:rsidRPr="00611FB5">
        <w:rPr>
          <w:rFonts w:ascii="Times New Roman" w:hAnsi="Times New Roman"/>
          <w:sz w:val="28"/>
          <w:szCs w:val="28"/>
        </w:rPr>
        <w:t>риоритетными направлениями развития базовых отраслей промышленности являются выравнивание условий конкуренции российских и иностранных производителей на российском рынке и поддержка экспорта российской промышленной продукции.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7698D">
        <w:rPr>
          <w:rFonts w:ascii="Times New Roman" w:hAnsi="Times New Roman"/>
          <w:sz w:val="28"/>
          <w:szCs w:val="28"/>
        </w:rPr>
        <w:t xml:space="preserve"> 2020 году ставится цель занять значимое место на рынках высокотехнологичных товаров и интеллектуальных услуг в 5 - 7 и более секторах, сформировать условия для массового появления новых инновационных компаний во всех секторах экономики, и в первую очередь в сфере экономики знаний</w:t>
      </w:r>
      <w:r>
        <w:rPr>
          <w:rFonts w:ascii="Times New Roman" w:hAnsi="Times New Roman"/>
          <w:sz w:val="28"/>
          <w:szCs w:val="28"/>
        </w:rPr>
        <w:t>, а также обеспечить с</w:t>
      </w:r>
      <w:r w:rsidRPr="00B7698D">
        <w:rPr>
          <w:rFonts w:ascii="Times New Roman" w:hAnsi="Times New Roman"/>
          <w:sz w:val="28"/>
          <w:szCs w:val="28"/>
        </w:rPr>
        <w:t>балансированное пространственное развитие</w:t>
      </w:r>
      <w:r>
        <w:rPr>
          <w:rFonts w:ascii="Times New Roman" w:hAnsi="Times New Roman"/>
          <w:sz w:val="28"/>
          <w:szCs w:val="28"/>
        </w:rPr>
        <w:t>.</w:t>
      </w:r>
      <w:r w:rsidRPr="00B7698D">
        <w:rPr>
          <w:rFonts w:ascii="Times New Roman" w:hAnsi="Times New Roman"/>
          <w:sz w:val="28"/>
          <w:szCs w:val="28"/>
        </w:rPr>
        <w:t xml:space="preserve"> </w:t>
      </w:r>
    </w:p>
    <w:p w:rsidR="0052474C" w:rsidRPr="00611FB5" w:rsidRDefault="0052474C" w:rsidP="005247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комплексе мер, которые </w:t>
      </w:r>
      <w:r w:rsidRPr="00611FB5">
        <w:rPr>
          <w:rFonts w:ascii="Times New Roman" w:hAnsi="Times New Roman"/>
          <w:sz w:val="28"/>
          <w:szCs w:val="28"/>
        </w:rPr>
        <w:t xml:space="preserve">будут осуществляться </w:t>
      </w:r>
      <w:r>
        <w:rPr>
          <w:rFonts w:ascii="Times New Roman" w:hAnsi="Times New Roman"/>
          <w:sz w:val="28"/>
          <w:szCs w:val="28"/>
        </w:rPr>
        <w:t>в</w:t>
      </w:r>
      <w:r w:rsidRPr="00611FB5">
        <w:rPr>
          <w:rFonts w:ascii="Times New Roman" w:hAnsi="Times New Roman"/>
          <w:sz w:val="28"/>
          <w:szCs w:val="28"/>
        </w:rPr>
        <w:t xml:space="preserve"> рамках реализации </w:t>
      </w:r>
      <w:r>
        <w:rPr>
          <w:rFonts w:ascii="Times New Roman" w:hAnsi="Times New Roman"/>
          <w:sz w:val="28"/>
          <w:szCs w:val="28"/>
        </w:rPr>
        <w:t xml:space="preserve">Концепции, ключевое место занимает </w:t>
      </w:r>
      <w:r w:rsidRPr="00611FB5">
        <w:rPr>
          <w:rFonts w:ascii="Times New Roman" w:hAnsi="Times New Roman"/>
          <w:sz w:val="28"/>
          <w:szCs w:val="28"/>
        </w:rPr>
        <w:t>создание условий для роста инвестиций в обновление основных фондов и технологическую модернизацию</w:t>
      </w:r>
      <w:r>
        <w:rPr>
          <w:rFonts w:ascii="Times New Roman" w:hAnsi="Times New Roman"/>
          <w:sz w:val="28"/>
          <w:szCs w:val="28"/>
        </w:rPr>
        <w:t>,</w:t>
      </w:r>
      <w:r w:rsidRPr="00611FB5">
        <w:rPr>
          <w:rFonts w:ascii="Times New Roman" w:hAnsi="Times New Roman"/>
          <w:sz w:val="28"/>
          <w:szCs w:val="28"/>
        </w:rPr>
        <w:t xml:space="preserve"> стимулирование реализации проектов, связанных с внедрением инновационных разработок, </w:t>
      </w:r>
      <w:proofErr w:type="spellStart"/>
      <w:r w:rsidRPr="00611FB5">
        <w:rPr>
          <w:rFonts w:ascii="Times New Roman" w:hAnsi="Times New Roman"/>
          <w:sz w:val="28"/>
          <w:szCs w:val="28"/>
        </w:rPr>
        <w:t>ресурсо</w:t>
      </w:r>
      <w:proofErr w:type="spellEnd"/>
      <w:r w:rsidRPr="00611FB5">
        <w:rPr>
          <w:rFonts w:ascii="Times New Roman" w:hAnsi="Times New Roman"/>
          <w:sz w:val="28"/>
          <w:szCs w:val="28"/>
        </w:rPr>
        <w:t>- и энергосберегающих технологий, техническим и технологическим перевооружением предприятий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52474C" w:rsidRPr="00820FBA" w:rsidRDefault="0052474C" w:rsidP="002732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74C">
        <w:rPr>
          <w:rFonts w:ascii="Times New Roman" w:hAnsi="Times New Roman"/>
          <w:sz w:val="28"/>
          <w:szCs w:val="28"/>
        </w:rPr>
        <w:t>Сложившийся уровень инвестиций в инфраструктуру в России оценивается в 3,5-4% ВВП, что примерно соответствует среднемировому уровню</w:t>
      </w:r>
      <w:r>
        <w:rPr>
          <w:rStyle w:val="aa"/>
          <w:rFonts w:ascii="Times New Roman" w:hAnsi="Times New Roman"/>
          <w:sz w:val="28"/>
          <w:szCs w:val="28"/>
        </w:rPr>
        <w:footnoteReference w:id="2"/>
      </w:r>
      <w:r w:rsidRPr="0052474C">
        <w:rPr>
          <w:rFonts w:ascii="Times New Roman" w:hAnsi="Times New Roman"/>
          <w:sz w:val="28"/>
          <w:szCs w:val="28"/>
        </w:rPr>
        <w:t xml:space="preserve">.. По показателям развития инфраструктуры (учитываются только транспорт, электроснабжение и телекоммуникации) Россия в рейтинге качества инфраструктуры Всемирного экономического форума (Всемирный индекс конкурентоспособности ВЭФ) занимает место несколько выше среднего (64-е место из 140 стран). </w:t>
      </w:r>
      <w:r>
        <w:rPr>
          <w:rFonts w:ascii="Times New Roman" w:hAnsi="Times New Roman"/>
          <w:sz w:val="28"/>
          <w:szCs w:val="28"/>
        </w:rPr>
        <w:t xml:space="preserve">Однако, как справедливо подчеркивает М. Дмитриев в докладе </w:t>
      </w:r>
      <w:r w:rsidRPr="0052474C">
        <w:rPr>
          <w:rFonts w:ascii="Times New Roman" w:hAnsi="Times New Roman"/>
          <w:sz w:val="28"/>
          <w:szCs w:val="28"/>
        </w:rPr>
        <w:t>«Развитие инфраструктуры как ядро новой модели экономического роста», средний уровень качества инфраструктуры маскирует резкие различия по сегментам инфраструктуры</w:t>
      </w:r>
      <w:r>
        <w:rPr>
          <w:rStyle w:val="aa"/>
          <w:rFonts w:ascii="Times New Roman" w:hAnsi="Times New Roman"/>
          <w:sz w:val="28"/>
          <w:szCs w:val="28"/>
        </w:rPr>
        <w:footnoteReference w:id="3"/>
      </w:r>
      <w:r w:rsidRPr="005247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474C" w:rsidRDefault="0052474C" w:rsidP="005247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lastRenderedPageBreak/>
        <w:t xml:space="preserve">Стремительное устаревание основополагающих объектов инфраструктуры является в настоящее время одной из основных проблем, создает практически критическую ситуацию в инфраструктурных отраслях промышленности, и делает невозможным развитие инновационных отраслей экономики. </w:t>
      </w:r>
      <w:proofErr w:type="gramStart"/>
      <w:r w:rsidRPr="00820FBA">
        <w:rPr>
          <w:rFonts w:ascii="Times New Roman" w:hAnsi="Times New Roman"/>
          <w:sz w:val="28"/>
          <w:szCs w:val="28"/>
        </w:rPr>
        <w:t>Проблема крайней изношенности основных фондов и недостаточных инвестиций в инфраструктурную сферу была вызвана, с одной стороны, нежеланием государства, даже в годы относительной стабильности и высоких цен на нефть, выделять достаточное количество инвестиционных ресурсов и рационально распределить их, с другой стороны, нежеланием бизнес-сообщества вкладывать собственные средства в долгосрочные инвестиционные проекты, обусловленное как низкими показателями инвестиционной привлекательности, так и высокими макроэкономическими и</w:t>
      </w:r>
      <w:proofErr w:type="gramEnd"/>
      <w:r w:rsidRPr="00820FBA">
        <w:rPr>
          <w:rFonts w:ascii="Times New Roman" w:hAnsi="Times New Roman"/>
          <w:sz w:val="28"/>
          <w:szCs w:val="28"/>
        </w:rPr>
        <w:t xml:space="preserve"> политическими рисками. </w:t>
      </w:r>
    </w:p>
    <w:p w:rsidR="00BF0B55" w:rsidRDefault="00BF0B55" w:rsidP="00BF0B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Поскольку проблемы недофинансирования инфраструктуры справедливы и для большинства сегментов отрасли связи, целесообразно рассмотреть, какие существуют возможности и перспективы стимулирования развития инфраструктуры связи в РФ с использованием механизмов государственно-частного партнерства</w:t>
      </w:r>
      <w:r w:rsidR="00DC6B72" w:rsidRPr="00820FBA">
        <w:rPr>
          <w:rFonts w:ascii="Times New Roman" w:hAnsi="Times New Roman"/>
          <w:sz w:val="28"/>
          <w:szCs w:val="28"/>
        </w:rPr>
        <w:t xml:space="preserve"> (ГЧП)</w:t>
      </w:r>
      <w:r w:rsidR="0052474C">
        <w:rPr>
          <w:rStyle w:val="aa"/>
          <w:rFonts w:ascii="Times New Roman" w:hAnsi="Times New Roman"/>
          <w:sz w:val="28"/>
          <w:szCs w:val="28"/>
        </w:rPr>
        <w:footnoteReference w:id="4"/>
      </w:r>
      <w:r w:rsidRPr="00820FBA">
        <w:rPr>
          <w:rFonts w:ascii="Times New Roman" w:hAnsi="Times New Roman"/>
          <w:sz w:val="28"/>
          <w:szCs w:val="28"/>
        </w:rPr>
        <w:t>.</w:t>
      </w:r>
    </w:p>
    <w:p w:rsidR="00152B70" w:rsidRPr="00820FBA" w:rsidRDefault="00FF29BB" w:rsidP="00DC6B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Под ГЧП принято понимать среднесрочное или долгосрочное сотрудничество между общественным и частным сектором, в рамках которого происходит решение политических задач на основе объединения опыта и экспертизы нескольких секторов и разделения финансовых рисков и выгод.</w:t>
      </w:r>
      <w:r w:rsidRPr="00820FBA">
        <w:rPr>
          <w:rStyle w:val="aa"/>
          <w:rFonts w:ascii="Times New Roman" w:hAnsi="Times New Roman"/>
          <w:sz w:val="28"/>
          <w:szCs w:val="28"/>
        </w:rPr>
        <w:footnoteReference w:id="5"/>
      </w:r>
      <w:r w:rsidRPr="00820FBA">
        <w:rPr>
          <w:rFonts w:ascii="Times New Roman" w:hAnsi="Times New Roman"/>
          <w:sz w:val="28"/>
          <w:szCs w:val="28"/>
        </w:rPr>
        <w:t xml:space="preserve"> </w:t>
      </w:r>
      <w:r w:rsidR="00DC6B72" w:rsidRPr="00820FBA">
        <w:rPr>
          <w:rFonts w:ascii="Times New Roman" w:hAnsi="Times New Roman"/>
          <w:sz w:val="28"/>
          <w:szCs w:val="28"/>
        </w:rPr>
        <w:t xml:space="preserve">В широком смысле, </w:t>
      </w:r>
      <w:r w:rsidRPr="00820FBA">
        <w:rPr>
          <w:rFonts w:ascii="Times New Roman" w:hAnsi="Times New Roman"/>
          <w:sz w:val="28"/>
          <w:szCs w:val="28"/>
        </w:rPr>
        <w:t>ГЧП</w:t>
      </w:r>
      <w:r w:rsidR="00DC6B72" w:rsidRPr="00820FBA">
        <w:rPr>
          <w:rFonts w:ascii="Times New Roman" w:hAnsi="Times New Roman"/>
          <w:sz w:val="28"/>
          <w:szCs w:val="28"/>
        </w:rPr>
        <w:t xml:space="preserve"> </w:t>
      </w:r>
      <w:r w:rsidRPr="00820FBA">
        <w:rPr>
          <w:rFonts w:ascii="Times New Roman" w:hAnsi="Times New Roman"/>
          <w:sz w:val="28"/>
          <w:szCs w:val="28"/>
        </w:rPr>
        <w:t>можно рассматривать как</w:t>
      </w:r>
      <w:r w:rsidR="00DC6B72" w:rsidRPr="00820FBA">
        <w:rPr>
          <w:rFonts w:ascii="Times New Roman" w:hAnsi="Times New Roman"/>
          <w:sz w:val="28"/>
          <w:szCs w:val="28"/>
        </w:rPr>
        <w:t xml:space="preserve"> систему отношений государства и бизнеса, </w:t>
      </w:r>
      <w:proofErr w:type="gramStart"/>
      <w:r w:rsidR="00DC6B72" w:rsidRPr="00820FBA">
        <w:rPr>
          <w:rFonts w:ascii="Times New Roman" w:hAnsi="Times New Roman"/>
          <w:sz w:val="28"/>
          <w:szCs w:val="28"/>
        </w:rPr>
        <w:t>которая</w:t>
      </w:r>
      <w:proofErr w:type="gramEnd"/>
      <w:r w:rsidR="00DC6B72" w:rsidRPr="00820FBA">
        <w:rPr>
          <w:rFonts w:ascii="Times New Roman" w:hAnsi="Times New Roman"/>
          <w:sz w:val="28"/>
          <w:szCs w:val="28"/>
        </w:rPr>
        <w:t xml:space="preserve"> широко используется в качестве инструмента экономического развития. </w:t>
      </w:r>
      <w:r w:rsidR="00152B70" w:rsidRPr="00820FBA">
        <w:rPr>
          <w:rFonts w:ascii="Times New Roman" w:hAnsi="Times New Roman"/>
          <w:sz w:val="28"/>
          <w:szCs w:val="28"/>
        </w:rPr>
        <w:t xml:space="preserve">Понятие «государство» в системе ГЧП включает в себя совокупность всех уровней государственного управления – федеральной, региональной и муниципальной власти. </w:t>
      </w:r>
    </w:p>
    <w:p w:rsidR="00DC6B72" w:rsidRPr="00820FBA" w:rsidRDefault="00152B70" w:rsidP="00DC6B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lastRenderedPageBreak/>
        <w:t>Согласно определению Всемирного банка</w:t>
      </w:r>
      <w:r w:rsidR="00FF29BB" w:rsidRPr="00820FBA">
        <w:rPr>
          <w:rFonts w:ascii="Times New Roman" w:hAnsi="Times New Roman"/>
          <w:sz w:val="28"/>
          <w:szCs w:val="28"/>
        </w:rPr>
        <w:t xml:space="preserve"> (</w:t>
      </w:r>
      <w:r w:rsidR="00FF29BB" w:rsidRPr="00820FBA">
        <w:rPr>
          <w:rFonts w:ascii="Times New Roman" w:hAnsi="Times New Roman"/>
          <w:sz w:val="28"/>
          <w:szCs w:val="28"/>
          <w:lang w:val="en-US"/>
        </w:rPr>
        <w:t>World</w:t>
      </w:r>
      <w:r w:rsidR="00FF29BB" w:rsidRPr="00820FBA">
        <w:rPr>
          <w:rFonts w:ascii="Times New Roman" w:hAnsi="Times New Roman"/>
          <w:sz w:val="28"/>
          <w:szCs w:val="28"/>
        </w:rPr>
        <w:t xml:space="preserve"> </w:t>
      </w:r>
      <w:r w:rsidR="00FF29BB" w:rsidRPr="00820FBA">
        <w:rPr>
          <w:rFonts w:ascii="Times New Roman" w:hAnsi="Times New Roman"/>
          <w:sz w:val="28"/>
          <w:szCs w:val="28"/>
          <w:lang w:val="en-US"/>
        </w:rPr>
        <w:t>Bank</w:t>
      </w:r>
      <w:r w:rsidR="00FF29BB" w:rsidRPr="00820FBA">
        <w:rPr>
          <w:rFonts w:ascii="Times New Roman" w:hAnsi="Times New Roman"/>
          <w:sz w:val="28"/>
          <w:szCs w:val="28"/>
        </w:rPr>
        <w:t>)</w:t>
      </w:r>
      <w:r w:rsidRPr="00820FBA">
        <w:rPr>
          <w:rFonts w:ascii="Times New Roman" w:hAnsi="Times New Roman"/>
          <w:sz w:val="28"/>
          <w:szCs w:val="28"/>
        </w:rPr>
        <w:t>, «ГЧП – это соглашение между публичной и частной сторонами по поводу производства и оказания инфраструктурных услуг, заключаемое с целью привлечения дополнительных инвестиций и, что еще более важно, как средство повышения эффективности бюджетного финансирования».</w:t>
      </w:r>
      <w:r w:rsidRPr="00820FBA">
        <w:footnoteReference w:id="6"/>
      </w:r>
      <w:r w:rsidRPr="00820FBA">
        <w:rPr>
          <w:rFonts w:ascii="Times New Roman" w:hAnsi="Times New Roman"/>
          <w:sz w:val="28"/>
          <w:szCs w:val="28"/>
        </w:rPr>
        <w:t xml:space="preserve"> Данное определение можно считать наиболее полно отражающим природу ГЧП как совокупности общественных отношений, находящихся на стыке публичного и частного права, поэтому оно взято в данной главе за основу. Соответственно, п</w:t>
      </w:r>
      <w:r w:rsidR="00DC6B72" w:rsidRPr="00820FBA">
        <w:rPr>
          <w:rFonts w:ascii="Times New Roman" w:hAnsi="Times New Roman"/>
          <w:sz w:val="28"/>
          <w:szCs w:val="28"/>
        </w:rPr>
        <w:t>редмет ГЧП составляют государственная и муниципальная собственность, а также услуги, оказываемые государством, муниципальными органами власти и организациями бюджетного сектора.</w:t>
      </w:r>
    </w:p>
    <w:p w:rsidR="00BF0B55" w:rsidRPr="00820FBA" w:rsidRDefault="00BF0B55" w:rsidP="00BF0B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0B55" w:rsidRPr="00820FBA" w:rsidRDefault="00766AF4" w:rsidP="00BF0B5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F0B55" w:rsidRPr="00820FBA">
        <w:rPr>
          <w:rFonts w:ascii="Times New Roman" w:hAnsi="Times New Roman"/>
          <w:b/>
          <w:sz w:val="28"/>
          <w:szCs w:val="28"/>
        </w:rPr>
        <w:t>азвити</w:t>
      </w:r>
      <w:r>
        <w:rPr>
          <w:rFonts w:ascii="Times New Roman" w:hAnsi="Times New Roman"/>
          <w:b/>
          <w:sz w:val="28"/>
          <w:szCs w:val="28"/>
        </w:rPr>
        <w:t>е</w:t>
      </w:r>
      <w:r w:rsidR="00BF0B55" w:rsidRPr="00820FBA">
        <w:rPr>
          <w:rFonts w:ascii="Times New Roman" w:hAnsi="Times New Roman"/>
          <w:b/>
          <w:sz w:val="28"/>
          <w:szCs w:val="28"/>
        </w:rPr>
        <w:t xml:space="preserve"> инфраструктуры связи в РФ</w:t>
      </w:r>
    </w:p>
    <w:p w:rsidR="00287F83" w:rsidRDefault="00425D83" w:rsidP="00287F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Отрасль связи, особенно ориентированная на конечного потребителя (т</w:t>
      </w:r>
      <w:r w:rsidR="00031E49" w:rsidRPr="00820FBA">
        <w:rPr>
          <w:rFonts w:ascii="Times New Roman" w:hAnsi="Times New Roman"/>
          <w:sz w:val="28"/>
          <w:szCs w:val="28"/>
        </w:rPr>
        <w:t xml:space="preserve">ак называемая </w:t>
      </w:r>
      <w:r w:rsidRPr="00820FBA">
        <w:rPr>
          <w:rFonts w:ascii="Times New Roman" w:hAnsi="Times New Roman"/>
          <w:sz w:val="28"/>
          <w:szCs w:val="28"/>
        </w:rPr>
        <w:t>розница)</w:t>
      </w:r>
      <w:r w:rsidR="00031E49" w:rsidRPr="00820FBA">
        <w:rPr>
          <w:rFonts w:ascii="Times New Roman" w:hAnsi="Times New Roman"/>
          <w:sz w:val="28"/>
          <w:szCs w:val="28"/>
        </w:rPr>
        <w:t>,</w:t>
      </w:r>
      <w:r w:rsidRPr="00820FBA">
        <w:rPr>
          <w:rFonts w:ascii="Times New Roman" w:hAnsi="Times New Roman"/>
          <w:sz w:val="28"/>
          <w:szCs w:val="28"/>
        </w:rPr>
        <w:t xml:space="preserve"> активно разви</w:t>
      </w:r>
      <w:r w:rsidR="00BE4F9C" w:rsidRPr="00820FBA">
        <w:rPr>
          <w:rFonts w:ascii="Times New Roman" w:hAnsi="Times New Roman"/>
          <w:sz w:val="28"/>
          <w:szCs w:val="28"/>
        </w:rPr>
        <w:t>валась на протяжении</w:t>
      </w:r>
      <w:r w:rsidRPr="00820FBA">
        <w:rPr>
          <w:rFonts w:ascii="Times New Roman" w:hAnsi="Times New Roman"/>
          <w:sz w:val="28"/>
          <w:szCs w:val="28"/>
        </w:rPr>
        <w:t xml:space="preserve"> последних </w:t>
      </w:r>
      <w:r w:rsidR="00BF0B55" w:rsidRPr="00820FBA">
        <w:rPr>
          <w:rFonts w:ascii="Times New Roman" w:hAnsi="Times New Roman"/>
          <w:sz w:val="28"/>
          <w:szCs w:val="28"/>
        </w:rPr>
        <w:t>2</w:t>
      </w:r>
      <w:r w:rsidRPr="00820FBA">
        <w:rPr>
          <w:rFonts w:ascii="Times New Roman" w:hAnsi="Times New Roman"/>
          <w:sz w:val="28"/>
          <w:szCs w:val="28"/>
        </w:rPr>
        <w:t>0 лет</w:t>
      </w:r>
      <w:r w:rsidR="00540738">
        <w:rPr>
          <w:rFonts w:ascii="Times New Roman" w:hAnsi="Times New Roman"/>
          <w:sz w:val="28"/>
          <w:szCs w:val="28"/>
        </w:rPr>
        <w:t>.</w:t>
      </w:r>
      <w:r w:rsidR="00287F83">
        <w:rPr>
          <w:rFonts w:ascii="Times New Roman" w:hAnsi="Times New Roman"/>
          <w:sz w:val="28"/>
          <w:szCs w:val="28"/>
        </w:rPr>
        <w:t xml:space="preserve"> М</w:t>
      </w:r>
      <w:r w:rsidRPr="00820FBA">
        <w:rPr>
          <w:rFonts w:ascii="Times New Roman" w:hAnsi="Times New Roman"/>
          <w:sz w:val="28"/>
          <w:szCs w:val="28"/>
        </w:rPr>
        <w:t xml:space="preserve">обильная связь </w:t>
      </w:r>
      <w:r w:rsidR="00BF0B55" w:rsidRPr="00820FBA">
        <w:rPr>
          <w:rFonts w:ascii="Times New Roman" w:hAnsi="Times New Roman"/>
          <w:sz w:val="28"/>
          <w:szCs w:val="28"/>
        </w:rPr>
        <w:t>и И</w:t>
      </w:r>
      <w:r w:rsidRPr="00820FBA">
        <w:rPr>
          <w:rFonts w:ascii="Times New Roman" w:hAnsi="Times New Roman"/>
          <w:sz w:val="28"/>
          <w:szCs w:val="28"/>
        </w:rPr>
        <w:t>нтернет стали доступны</w:t>
      </w:r>
      <w:r w:rsidR="00BE4F9C" w:rsidRPr="00820FBA">
        <w:rPr>
          <w:rFonts w:ascii="Times New Roman" w:hAnsi="Times New Roman"/>
          <w:sz w:val="28"/>
          <w:szCs w:val="28"/>
        </w:rPr>
        <w:t xml:space="preserve"> массовому потребителю,</w:t>
      </w:r>
      <w:r w:rsidRPr="00820FBA">
        <w:rPr>
          <w:rFonts w:ascii="Times New Roman" w:hAnsi="Times New Roman"/>
          <w:sz w:val="28"/>
          <w:szCs w:val="28"/>
        </w:rPr>
        <w:t xml:space="preserve"> по крайней мере</w:t>
      </w:r>
      <w:r w:rsidR="004245FD" w:rsidRPr="00820FBA">
        <w:rPr>
          <w:rFonts w:ascii="Times New Roman" w:hAnsi="Times New Roman"/>
          <w:sz w:val="28"/>
          <w:szCs w:val="28"/>
        </w:rPr>
        <w:t>,</w:t>
      </w:r>
      <w:r w:rsidRPr="00820FBA">
        <w:rPr>
          <w:rFonts w:ascii="Times New Roman" w:hAnsi="Times New Roman"/>
          <w:sz w:val="28"/>
          <w:szCs w:val="28"/>
        </w:rPr>
        <w:t xml:space="preserve"> </w:t>
      </w:r>
      <w:r w:rsidR="00031E49" w:rsidRPr="00820FBA">
        <w:rPr>
          <w:rFonts w:ascii="Times New Roman" w:hAnsi="Times New Roman"/>
          <w:sz w:val="28"/>
          <w:szCs w:val="28"/>
        </w:rPr>
        <w:t>на</w:t>
      </w:r>
      <w:r w:rsidRPr="00820FBA">
        <w:rPr>
          <w:rFonts w:ascii="Times New Roman" w:hAnsi="Times New Roman"/>
          <w:sz w:val="28"/>
          <w:szCs w:val="28"/>
        </w:rPr>
        <w:t xml:space="preserve"> европейской част</w:t>
      </w:r>
      <w:r w:rsidR="00BE4F9C" w:rsidRPr="00820FBA">
        <w:rPr>
          <w:rFonts w:ascii="Times New Roman" w:hAnsi="Times New Roman"/>
          <w:sz w:val="28"/>
          <w:szCs w:val="28"/>
        </w:rPr>
        <w:t>и России и</w:t>
      </w:r>
      <w:r w:rsidR="00031E49" w:rsidRPr="00820FBA">
        <w:rPr>
          <w:rFonts w:ascii="Times New Roman" w:hAnsi="Times New Roman"/>
          <w:sz w:val="28"/>
          <w:szCs w:val="28"/>
        </w:rPr>
        <w:t xml:space="preserve"> в</w:t>
      </w:r>
      <w:r w:rsidR="00BE4F9C" w:rsidRPr="00820FBA">
        <w:rPr>
          <w:rFonts w:ascii="Times New Roman" w:hAnsi="Times New Roman"/>
          <w:sz w:val="28"/>
          <w:szCs w:val="28"/>
        </w:rPr>
        <w:t xml:space="preserve"> крупных</w:t>
      </w:r>
      <w:r w:rsidR="00BF0B55" w:rsidRPr="00820FBA">
        <w:rPr>
          <w:rFonts w:ascii="Times New Roman" w:hAnsi="Times New Roman"/>
          <w:sz w:val="28"/>
          <w:szCs w:val="28"/>
        </w:rPr>
        <w:t xml:space="preserve"> и средних </w:t>
      </w:r>
      <w:r w:rsidR="00BE4F9C" w:rsidRPr="00820FBA">
        <w:rPr>
          <w:rFonts w:ascii="Times New Roman" w:hAnsi="Times New Roman"/>
          <w:sz w:val="28"/>
          <w:szCs w:val="28"/>
        </w:rPr>
        <w:t xml:space="preserve">городах. </w:t>
      </w:r>
    </w:p>
    <w:p w:rsidR="00287F83" w:rsidRDefault="00287F83" w:rsidP="00287F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7F83">
        <w:rPr>
          <w:rFonts w:ascii="Times New Roman" w:hAnsi="Times New Roman"/>
          <w:sz w:val="28"/>
          <w:szCs w:val="28"/>
        </w:rPr>
        <w:t>Протяженность волоконно-оптических линий связи (ВОЛС) в России продолжает расти (рис.1). При этом</w:t>
      </w:r>
      <w:proofErr w:type="gramStart"/>
      <w:r w:rsidR="00540738">
        <w:rPr>
          <w:rFonts w:ascii="Times New Roman" w:hAnsi="Times New Roman"/>
          <w:sz w:val="28"/>
          <w:szCs w:val="28"/>
        </w:rPr>
        <w:t>,</w:t>
      </w:r>
      <w:proofErr w:type="gramEnd"/>
      <w:r w:rsidRPr="00287F83">
        <w:rPr>
          <w:rFonts w:ascii="Times New Roman" w:hAnsi="Times New Roman"/>
          <w:sz w:val="28"/>
          <w:szCs w:val="28"/>
        </w:rPr>
        <w:t xml:space="preserve"> согласно данным </w:t>
      </w:r>
      <w:proofErr w:type="spellStart"/>
      <w:r w:rsidRPr="00287F83">
        <w:rPr>
          <w:rFonts w:ascii="Times New Roman" w:hAnsi="Times New Roman"/>
          <w:sz w:val="28"/>
          <w:szCs w:val="28"/>
        </w:rPr>
        <w:t>J'son</w:t>
      </w:r>
      <w:proofErr w:type="spellEnd"/>
      <w:r w:rsidRPr="00287F83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287F83">
        <w:rPr>
          <w:rFonts w:ascii="Times New Roman" w:hAnsi="Times New Roman"/>
          <w:sz w:val="28"/>
          <w:szCs w:val="28"/>
        </w:rPr>
        <w:t>Partners</w:t>
      </w:r>
      <w:proofErr w:type="spellEnd"/>
      <w:r w:rsidRPr="00287F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7F83">
        <w:rPr>
          <w:rFonts w:ascii="Times New Roman" w:hAnsi="Times New Roman"/>
          <w:sz w:val="28"/>
          <w:szCs w:val="28"/>
        </w:rPr>
        <w:t>Consulting</w:t>
      </w:r>
      <w:proofErr w:type="spellEnd"/>
      <w:r w:rsidRPr="00287F83">
        <w:rPr>
          <w:rFonts w:ascii="Times New Roman" w:hAnsi="Times New Roman"/>
          <w:sz w:val="28"/>
          <w:szCs w:val="28"/>
        </w:rPr>
        <w:t>, в 2013 году 50 % построенных оптических линий приходилось на Северо-Западный, Центральный и Поволжский регионы</w:t>
      </w:r>
      <w:r w:rsidR="00925554">
        <w:rPr>
          <w:rStyle w:val="aa"/>
          <w:rFonts w:ascii="Times New Roman" w:hAnsi="Times New Roman"/>
          <w:sz w:val="28"/>
          <w:szCs w:val="28"/>
        </w:rPr>
        <w:footnoteReference w:id="7"/>
      </w:r>
      <w:r w:rsidRPr="00287F83">
        <w:rPr>
          <w:rFonts w:ascii="Times New Roman" w:hAnsi="Times New Roman"/>
          <w:sz w:val="28"/>
          <w:szCs w:val="28"/>
        </w:rPr>
        <w:t>. Активное строительство ВОЛС в 2013 году наблюдалось в Сибири, на которую пришлось 15 % всех построенных ВОЛС (рис.2). По сути, все необходимые  главные магистральные направления ВОЛС уже</w:t>
      </w:r>
      <w:r w:rsidRPr="00287F83">
        <w:rPr>
          <w:rFonts w:ascii="Times New Roman" w:hAnsi="Times New Roman"/>
          <w:color w:val="000000"/>
          <w:sz w:val="28"/>
          <w:szCs w:val="28"/>
        </w:rPr>
        <w:t xml:space="preserve"> построены, и строительство все активнее </w:t>
      </w:r>
      <w:r>
        <w:rPr>
          <w:rFonts w:ascii="Times New Roman" w:hAnsi="Times New Roman"/>
          <w:color w:val="000000"/>
          <w:sz w:val="28"/>
          <w:szCs w:val="28"/>
        </w:rPr>
        <w:t>охватывает</w:t>
      </w:r>
      <w:r w:rsidRPr="00287F83">
        <w:rPr>
          <w:rFonts w:ascii="Times New Roman" w:hAnsi="Times New Roman"/>
          <w:color w:val="000000"/>
          <w:sz w:val="28"/>
          <w:szCs w:val="28"/>
        </w:rPr>
        <w:t xml:space="preserve"> периферию</w:t>
      </w:r>
      <w:r w:rsidRPr="00287F83">
        <w:rPr>
          <w:rStyle w:val="aa"/>
          <w:rFonts w:ascii="Times New Roman" w:hAnsi="Times New Roman"/>
          <w:color w:val="000000"/>
          <w:sz w:val="28"/>
          <w:szCs w:val="28"/>
        </w:rPr>
        <w:footnoteReference w:id="8"/>
      </w:r>
      <w:r w:rsidRPr="00287F83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87F83" w:rsidRDefault="00287F83" w:rsidP="00287F8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609D8ACE" wp14:editId="16E2FB0C">
            <wp:extent cx="5846581" cy="2686050"/>
            <wp:effectExtent l="0" t="0" r="1905" b="0"/>
            <wp:docPr id="5" name="Рисунок 5" descr="http://json.tv/public/images/general/2015/04/06/20150406160937-6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son.tv/public/images/general/2015/04/06/20150406160937-67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581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87F83" w:rsidRDefault="00287F83" w:rsidP="00287F83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87F83" w:rsidRDefault="00287F83" w:rsidP="00287F83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D10092" wp14:editId="290FE058">
            <wp:extent cx="5805095" cy="2809875"/>
            <wp:effectExtent l="0" t="0" r="5715" b="0"/>
            <wp:docPr id="4" name="Рисунок 4" descr="http://json.tv/public/images/general/2015/04/06/20150406160938-7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json.tv/public/images/general/2015/04/06/20150406160938-718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77" cy="281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83" w:rsidRDefault="00287F83" w:rsidP="00287F83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C4F3D" w:rsidRPr="00287F83" w:rsidRDefault="000C4F3D" w:rsidP="000C4F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83">
        <w:rPr>
          <w:rFonts w:ascii="Times New Roman" w:hAnsi="Times New Roman"/>
          <w:sz w:val="28"/>
          <w:szCs w:val="28"/>
        </w:rPr>
        <w:t xml:space="preserve">Взрывной рост объемов трафика </w:t>
      </w:r>
      <w:r>
        <w:rPr>
          <w:rFonts w:ascii="Times New Roman" w:hAnsi="Times New Roman"/>
          <w:sz w:val="28"/>
          <w:szCs w:val="28"/>
        </w:rPr>
        <w:t xml:space="preserve">в текущем десятилетии </w:t>
      </w:r>
      <w:r w:rsidRPr="00287F83">
        <w:rPr>
          <w:rFonts w:ascii="Times New Roman" w:hAnsi="Times New Roman"/>
          <w:sz w:val="28"/>
          <w:szCs w:val="28"/>
        </w:rPr>
        <w:t>потребовал модернизировать пропускную способность уже существующих магистральных сетей. В настоящее время рынок претерпевает изменения, вызванные активным спросом на услуги фиксированной и мобильной широкополосной передачи данных</w:t>
      </w:r>
      <w:r w:rsidR="00192F51">
        <w:rPr>
          <w:rFonts w:ascii="Times New Roman" w:hAnsi="Times New Roman"/>
          <w:sz w:val="28"/>
          <w:szCs w:val="28"/>
        </w:rPr>
        <w:t xml:space="preserve"> (ШПД)</w:t>
      </w:r>
      <w:r w:rsidRPr="00287F83">
        <w:rPr>
          <w:rFonts w:ascii="Times New Roman" w:hAnsi="Times New Roman"/>
          <w:sz w:val="28"/>
          <w:szCs w:val="28"/>
        </w:rPr>
        <w:t>. Ключевыми драйверами спроса на эти услуги являются:</w:t>
      </w:r>
    </w:p>
    <w:p w:rsidR="000C4F3D" w:rsidRDefault="000C4F3D" w:rsidP="000C4F3D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87F83">
        <w:rPr>
          <w:rFonts w:eastAsia="Calibri"/>
          <w:sz w:val="28"/>
          <w:szCs w:val="28"/>
          <w:lang w:eastAsia="en-US"/>
        </w:rPr>
        <w:t>рост числа мультимедийных ШПД-устройств у конечных пользователей;</w:t>
      </w:r>
    </w:p>
    <w:p w:rsidR="000C4F3D" w:rsidRPr="00DD1074" w:rsidRDefault="000C4F3D" w:rsidP="000C4F3D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D1074">
        <w:rPr>
          <w:rFonts w:eastAsia="Calibri"/>
          <w:sz w:val="28"/>
          <w:szCs w:val="28"/>
          <w:lang w:eastAsia="en-US"/>
        </w:rPr>
        <w:lastRenderedPageBreak/>
        <w:t>появление новых услуг и сервисов, основанных на скоростной передаче информации с потреблением большого количества данных, таких как IPTV, онлайн-ТВ, навигационные и картографические онлайн-сервисы и другие сервисы, связанные с «тяжелым» контентом.  </w:t>
      </w:r>
      <w:r w:rsidRPr="00DD1074">
        <w:rPr>
          <w:sz w:val="28"/>
          <w:szCs w:val="28"/>
        </w:rPr>
        <w:t xml:space="preserve">Как подчеркивает </w:t>
      </w:r>
      <w:proofErr w:type="spellStart"/>
      <w:r w:rsidRPr="00DD1074">
        <w:rPr>
          <w:sz w:val="28"/>
          <w:szCs w:val="28"/>
        </w:rPr>
        <w:t>О.Леонов</w:t>
      </w:r>
      <w:proofErr w:type="spellEnd"/>
      <w:r w:rsidRPr="00DD1074">
        <w:rPr>
          <w:sz w:val="28"/>
          <w:szCs w:val="28"/>
        </w:rPr>
        <w:t xml:space="preserve">, </w:t>
      </w:r>
      <w:r w:rsidRPr="00DD1074">
        <w:rPr>
          <w:iCs/>
          <w:sz w:val="28"/>
          <w:szCs w:val="28"/>
        </w:rPr>
        <w:t>руководитель департамента продаж и маркетинга компании «ТТК»,</w:t>
      </w:r>
      <w:r w:rsidRPr="00DD1074">
        <w:rPr>
          <w:sz w:val="28"/>
          <w:szCs w:val="28"/>
        </w:rPr>
        <w:t xml:space="preserve">  «развитие </w:t>
      </w:r>
      <w:proofErr w:type="spellStart"/>
      <w:r w:rsidRPr="00DD1074">
        <w:rPr>
          <w:sz w:val="28"/>
          <w:szCs w:val="28"/>
        </w:rPr>
        <w:t>медиателекоммуникационной</w:t>
      </w:r>
      <w:proofErr w:type="spellEnd"/>
      <w:r w:rsidRPr="00DD1074">
        <w:rPr>
          <w:sz w:val="28"/>
          <w:szCs w:val="28"/>
        </w:rPr>
        <w:t xml:space="preserve"> отрасли во многом взаимосвязано с совершенствованием технологий и возрастающей ролью мультимедийного контента».</w:t>
      </w:r>
      <w:r>
        <w:rPr>
          <w:rStyle w:val="aa"/>
          <w:sz w:val="28"/>
          <w:szCs w:val="28"/>
        </w:rPr>
        <w:footnoteReference w:id="9"/>
      </w:r>
      <w:r w:rsidRPr="00DD1074">
        <w:rPr>
          <w:sz w:val="28"/>
          <w:szCs w:val="28"/>
        </w:rPr>
        <w:t xml:space="preserve"> Современные форматы видеоизображений, сервисы IPTV, LTE-</w:t>
      </w:r>
      <w:proofErr w:type="spellStart"/>
      <w:r w:rsidRPr="00DD1074">
        <w:rPr>
          <w:sz w:val="28"/>
          <w:szCs w:val="28"/>
        </w:rPr>
        <w:t>Broadcast</w:t>
      </w:r>
      <w:proofErr w:type="spellEnd"/>
      <w:r w:rsidRPr="00DD1074">
        <w:rPr>
          <w:sz w:val="28"/>
          <w:szCs w:val="28"/>
        </w:rPr>
        <w:t xml:space="preserve">, </w:t>
      </w:r>
      <w:proofErr w:type="spellStart"/>
      <w:r w:rsidRPr="00DD1074">
        <w:rPr>
          <w:sz w:val="28"/>
          <w:szCs w:val="28"/>
        </w:rPr>
        <w:t>Smart</w:t>
      </w:r>
      <w:proofErr w:type="spellEnd"/>
      <w:r w:rsidRPr="00DD1074">
        <w:rPr>
          <w:sz w:val="28"/>
          <w:szCs w:val="28"/>
        </w:rPr>
        <w:t>-TV, расширение облачных хранилищ «требуют мощной инфраструктуры, способной на обработку и передачу больших объемов трафика на максимально высоких скоростях»</w:t>
      </w:r>
      <w:r w:rsidRPr="00DD1074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footnoteReference w:id="10"/>
      </w:r>
      <w:r w:rsidRPr="00DD1074">
        <w:rPr>
          <w:sz w:val="28"/>
          <w:szCs w:val="28"/>
        </w:rPr>
        <w:t>.</w:t>
      </w:r>
    </w:p>
    <w:p w:rsidR="000C4F3D" w:rsidRDefault="00540738" w:rsidP="00287F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738">
        <w:rPr>
          <w:rFonts w:ascii="Times New Roman" w:hAnsi="Times New Roman"/>
          <w:sz w:val="28"/>
          <w:szCs w:val="28"/>
        </w:rPr>
        <w:t xml:space="preserve">В рамках поручения Президента Российской Федерации от 15 ноября 2013 г. № Пр-2678 обеспечение современными услугами связи населенных пунктов с численностью населения от 500 до 50 тыс. человек осуществляется ведущими операторами связи в рамках собственных инвестиционных программ без привлечения дополнительных бюджетных ассигнований. </w:t>
      </w:r>
    </w:p>
    <w:p w:rsidR="00540738" w:rsidRDefault="00540738" w:rsidP="00287F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738">
        <w:rPr>
          <w:rFonts w:ascii="Times New Roman" w:hAnsi="Times New Roman"/>
          <w:sz w:val="28"/>
          <w:szCs w:val="28"/>
        </w:rPr>
        <w:t xml:space="preserve">В категории населенных пунктов с численностью от 10 тыс. до 50 тыс. человек развитие современных услуг связи обеспечивается ведущими операторами подвижной радиотелефонной связи. </w:t>
      </w:r>
    </w:p>
    <w:p w:rsidR="00540738" w:rsidRDefault="00540738" w:rsidP="00287F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738">
        <w:rPr>
          <w:rFonts w:ascii="Times New Roman" w:hAnsi="Times New Roman"/>
          <w:sz w:val="28"/>
          <w:szCs w:val="28"/>
        </w:rPr>
        <w:t xml:space="preserve">В категории населенных пунктов с численностью от 500 до 10 тыс. человек развитие современных услуг связи обеспечивается силами ПАО «Ростелеком» в рамках собственной инвестиционной программы «Сельская связь». </w:t>
      </w:r>
      <w:proofErr w:type="gramStart"/>
      <w:r w:rsidRPr="00540738">
        <w:rPr>
          <w:rFonts w:ascii="Times New Roman" w:hAnsi="Times New Roman"/>
          <w:sz w:val="28"/>
          <w:szCs w:val="28"/>
        </w:rPr>
        <w:t>Из 18 тыс. населенных пунктов указанной категории с общей численностью более 28 млн</w:t>
      </w:r>
      <w:r>
        <w:rPr>
          <w:rFonts w:ascii="Times New Roman" w:hAnsi="Times New Roman"/>
          <w:sz w:val="28"/>
          <w:szCs w:val="28"/>
        </w:rPr>
        <w:t>.</w:t>
      </w:r>
      <w:r w:rsidRPr="00540738">
        <w:rPr>
          <w:rFonts w:ascii="Times New Roman" w:hAnsi="Times New Roman"/>
          <w:sz w:val="28"/>
          <w:szCs w:val="28"/>
        </w:rPr>
        <w:t xml:space="preserve"> человек по состоянию на 31 декабря 2015 г. ПАО «Ростелеком» обеспечена доступность услуг широкополосного доступа </w:t>
      </w:r>
      <w:r w:rsidRPr="00540738">
        <w:rPr>
          <w:rFonts w:ascii="Times New Roman" w:hAnsi="Times New Roman"/>
          <w:sz w:val="28"/>
          <w:szCs w:val="28"/>
        </w:rPr>
        <w:lastRenderedPageBreak/>
        <w:t>к информационно-телекоммуникационной сети «Интернет» на территории 14 тыс. населенных пунктов для более 24 млн</w:t>
      </w:r>
      <w:r w:rsidR="000C4F3D">
        <w:rPr>
          <w:rFonts w:ascii="Times New Roman" w:hAnsi="Times New Roman"/>
          <w:sz w:val="28"/>
          <w:szCs w:val="28"/>
        </w:rPr>
        <w:t>.</w:t>
      </w:r>
      <w:r w:rsidRPr="00540738">
        <w:rPr>
          <w:rFonts w:ascii="Times New Roman" w:hAnsi="Times New Roman"/>
          <w:sz w:val="28"/>
          <w:szCs w:val="28"/>
        </w:rPr>
        <w:t xml:space="preserve"> человек (86 </w:t>
      </w:r>
      <w:r w:rsidR="000C4F3D">
        <w:rPr>
          <w:rFonts w:ascii="Times New Roman" w:hAnsi="Times New Roman"/>
          <w:sz w:val="28"/>
          <w:szCs w:val="28"/>
        </w:rPr>
        <w:t>%</w:t>
      </w:r>
      <w:r w:rsidRPr="00540738">
        <w:rPr>
          <w:rFonts w:ascii="Times New Roman" w:hAnsi="Times New Roman"/>
          <w:sz w:val="28"/>
          <w:szCs w:val="28"/>
        </w:rPr>
        <w:t xml:space="preserve"> населения в указанной категории населенных пунктов), а также услуг интерактивного телевидения на территории 7 тыс. населенных</w:t>
      </w:r>
      <w:proofErr w:type="gramEnd"/>
      <w:r w:rsidRPr="00540738">
        <w:rPr>
          <w:rFonts w:ascii="Times New Roman" w:hAnsi="Times New Roman"/>
          <w:sz w:val="28"/>
          <w:szCs w:val="28"/>
        </w:rPr>
        <w:t xml:space="preserve"> пунктов для более 16 млн</w:t>
      </w:r>
      <w:r>
        <w:rPr>
          <w:rFonts w:ascii="Times New Roman" w:hAnsi="Times New Roman"/>
          <w:sz w:val="28"/>
          <w:szCs w:val="28"/>
        </w:rPr>
        <w:t>.</w:t>
      </w:r>
      <w:r w:rsidRPr="00540738">
        <w:rPr>
          <w:rFonts w:ascii="Times New Roman" w:hAnsi="Times New Roman"/>
          <w:sz w:val="28"/>
          <w:szCs w:val="28"/>
        </w:rPr>
        <w:t xml:space="preserve"> человек (58 </w:t>
      </w:r>
      <w:r w:rsidR="000C4F3D">
        <w:rPr>
          <w:rFonts w:ascii="Times New Roman" w:hAnsi="Times New Roman"/>
          <w:sz w:val="28"/>
          <w:szCs w:val="28"/>
        </w:rPr>
        <w:t>%</w:t>
      </w:r>
      <w:r w:rsidRPr="00540738">
        <w:rPr>
          <w:rFonts w:ascii="Times New Roman" w:hAnsi="Times New Roman"/>
          <w:sz w:val="28"/>
          <w:szCs w:val="28"/>
        </w:rPr>
        <w:t xml:space="preserve"> населения в указанной категории населенных пунктов)</w:t>
      </w:r>
      <w:r>
        <w:rPr>
          <w:rStyle w:val="aa"/>
          <w:rFonts w:ascii="Times New Roman" w:hAnsi="Times New Roman"/>
          <w:sz w:val="28"/>
          <w:szCs w:val="28"/>
        </w:rPr>
        <w:footnoteReference w:id="11"/>
      </w:r>
      <w:r w:rsidRPr="00540738">
        <w:rPr>
          <w:rFonts w:ascii="Times New Roman" w:hAnsi="Times New Roman"/>
          <w:sz w:val="28"/>
          <w:szCs w:val="28"/>
        </w:rPr>
        <w:t>.</w:t>
      </w:r>
    </w:p>
    <w:p w:rsidR="00287F83" w:rsidRPr="00475B50" w:rsidRDefault="00925554" w:rsidP="0092555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554">
        <w:rPr>
          <w:rFonts w:ascii="Times New Roman" w:hAnsi="Times New Roman"/>
          <w:sz w:val="28"/>
          <w:szCs w:val="28"/>
        </w:rPr>
        <w:t xml:space="preserve">Проникновение  </w:t>
      </w:r>
      <w:r w:rsidR="00287F83" w:rsidRPr="00925554">
        <w:rPr>
          <w:rFonts w:ascii="Times New Roman" w:hAnsi="Times New Roman"/>
          <w:sz w:val="28"/>
          <w:szCs w:val="28"/>
        </w:rPr>
        <w:t xml:space="preserve">фиксированного широкополосного доступа среди российского населения по итогам 2015 года составило почти 55 % домохозяйств. С технологической точки зрения рынок фиксированного ШПД в России более развит, чем в целом мировой, за счет большей доли оптических технологий в структуре подключенных домохозяйств. По оценкам </w:t>
      </w:r>
      <w:proofErr w:type="spellStart"/>
      <w:r w:rsidR="00287F83" w:rsidRPr="00925554">
        <w:rPr>
          <w:rFonts w:ascii="Times New Roman" w:hAnsi="Times New Roman"/>
          <w:sz w:val="28"/>
          <w:szCs w:val="28"/>
        </w:rPr>
        <w:t>J’son</w:t>
      </w:r>
      <w:proofErr w:type="spellEnd"/>
      <w:r w:rsidR="00287F83" w:rsidRPr="00925554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="00287F83" w:rsidRPr="00925554">
        <w:rPr>
          <w:rFonts w:ascii="Times New Roman" w:hAnsi="Times New Roman"/>
          <w:sz w:val="28"/>
          <w:szCs w:val="28"/>
        </w:rPr>
        <w:t>Partners</w:t>
      </w:r>
      <w:proofErr w:type="spellEnd"/>
      <w:r w:rsidR="00287F83" w:rsidRPr="009255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F83" w:rsidRPr="00925554">
        <w:rPr>
          <w:rFonts w:ascii="Times New Roman" w:hAnsi="Times New Roman"/>
          <w:sz w:val="28"/>
          <w:szCs w:val="28"/>
        </w:rPr>
        <w:t>Consulting</w:t>
      </w:r>
      <w:proofErr w:type="spellEnd"/>
      <w:r w:rsidR="00287F83" w:rsidRPr="0092555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87F83" w:rsidRPr="00925554">
        <w:rPr>
          <w:rFonts w:ascii="Times New Roman" w:hAnsi="Times New Roman"/>
          <w:sz w:val="28"/>
          <w:szCs w:val="28"/>
        </w:rPr>
        <w:t>на конец</w:t>
      </w:r>
      <w:proofErr w:type="gramEnd"/>
      <w:r w:rsidR="00287F83" w:rsidRPr="00925554">
        <w:rPr>
          <w:rFonts w:ascii="Times New Roman" w:hAnsi="Times New Roman"/>
          <w:sz w:val="28"/>
          <w:szCs w:val="28"/>
        </w:rPr>
        <w:t xml:space="preserve"> 2015 года 77 % домохозяйств, имеющих проводной доступ в Интернет, были подключены по технологиям FTTB и PON, в то время как сред</w:t>
      </w:r>
      <w:r>
        <w:rPr>
          <w:rFonts w:ascii="Times New Roman" w:hAnsi="Times New Roman"/>
          <w:sz w:val="28"/>
          <w:szCs w:val="28"/>
        </w:rPr>
        <w:t>не</w:t>
      </w:r>
      <w:r w:rsidR="00287F83" w:rsidRPr="0092555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ировой</w:t>
      </w:r>
      <w:r w:rsidR="00287F83" w:rsidRPr="00925554">
        <w:rPr>
          <w:rFonts w:ascii="Times New Roman" w:hAnsi="Times New Roman"/>
          <w:sz w:val="28"/>
          <w:szCs w:val="28"/>
        </w:rPr>
        <w:t xml:space="preserve"> показатель составляет 23 %.</w:t>
      </w:r>
      <w:r w:rsidR="00287F83" w:rsidRPr="00EE519D">
        <w:rPr>
          <w:rStyle w:val="aa"/>
          <w:rFonts w:ascii="Times New Roman" w:hAnsi="Times New Roman"/>
          <w:sz w:val="28"/>
          <w:szCs w:val="28"/>
        </w:rPr>
        <w:footnoteReference w:id="12"/>
      </w:r>
    </w:p>
    <w:p w:rsidR="00B067A2" w:rsidRPr="00820FBA" w:rsidRDefault="00BE4F9C" w:rsidP="00425D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 xml:space="preserve">В то же время, доступность современных средств и возможностей связи </w:t>
      </w:r>
      <w:r w:rsidR="00031E49" w:rsidRPr="00820FBA">
        <w:rPr>
          <w:rFonts w:ascii="Times New Roman" w:hAnsi="Times New Roman"/>
          <w:sz w:val="28"/>
          <w:szCs w:val="28"/>
        </w:rPr>
        <w:t>как</w:t>
      </w:r>
      <w:r w:rsidRPr="00820FBA">
        <w:rPr>
          <w:rFonts w:ascii="Times New Roman" w:hAnsi="Times New Roman"/>
          <w:sz w:val="28"/>
          <w:szCs w:val="28"/>
        </w:rPr>
        <w:t xml:space="preserve"> информационной составляющей для предприятий промышленности</w:t>
      </w:r>
      <w:r w:rsidR="00031E49" w:rsidRPr="00820FBA">
        <w:rPr>
          <w:rFonts w:ascii="Times New Roman" w:hAnsi="Times New Roman"/>
          <w:sz w:val="28"/>
          <w:szCs w:val="28"/>
        </w:rPr>
        <w:t xml:space="preserve"> и</w:t>
      </w:r>
      <w:r w:rsidRPr="00820FBA">
        <w:rPr>
          <w:rFonts w:ascii="Times New Roman" w:hAnsi="Times New Roman"/>
          <w:sz w:val="28"/>
          <w:szCs w:val="28"/>
        </w:rPr>
        <w:t xml:space="preserve"> гос</w:t>
      </w:r>
      <w:r w:rsidR="00533643" w:rsidRPr="00820FBA">
        <w:rPr>
          <w:rFonts w:ascii="Times New Roman" w:hAnsi="Times New Roman"/>
          <w:sz w:val="28"/>
          <w:szCs w:val="28"/>
        </w:rPr>
        <w:t>ударственного</w:t>
      </w:r>
      <w:r w:rsidRPr="00820FBA">
        <w:rPr>
          <w:rFonts w:ascii="Times New Roman" w:hAnsi="Times New Roman"/>
          <w:sz w:val="28"/>
          <w:szCs w:val="28"/>
        </w:rPr>
        <w:t xml:space="preserve"> сектора, особенно в отдаленных район</w:t>
      </w:r>
      <w:r w:rsidR="00031E49" w:rsidRPr="00820FBA">
        <w:rPr>
          <w:rFonts w:ascii="Times New Roman" w:hAnsi="Times New Roman"/>
          <w:sz w:val="28"/>
          <w:szCs w:val="28"/>
        </w:rPr>
        <w:t>ах</w:t>
      </w:r>
      <w:r w:rsidRPr="00820FBA">
        <w:rPr>
          <w:rFonts w:ascii="Times New Roman" w:hAnsi="Times New Roman"/>
          <w:sz w:val="28"/>
          <w:szCs w:val="28"/>
        </w:rPr>
        <w:t xml:space="preserve"> страны</w:t>
      </w:r>
      <w:r w:rsidR="00533643" w:rsidRPr="00820FBA">
        <w:rPr>
          <w:rFonts w:ascii="Times New Roman" w:hAnsi="Times New Roman"/>
          <w:sz w:val="28"/>
          <w:szCs w:val="28"/>
        </w:rPr>
        <w:t>,</w:t>
      </w:r>
      <w:r w:rsidRPr="00820FBA">
        <w:rPr>
          <w:rFonts w:ascii="Times New Roman" w:hAnsi="Times New Roman"/>
          <w:sz w:val="28"/>
          <w:szCs w:val="28"/>
        </w:rPr>
        <w:t xml:space="preserve"> остается недостаточной.</w:t>
      </w:r>
      <w:r w:rsidR="00B067A2">
        <w:rPr>
          <w:rFonts w:ascii="Times New Roman" w:hAnsi="Times New Roman"/>
          <w:sz w:val="28"/>
          <w:szCs w:val="28"/>
        </w:rPr>
        <w:t xml:space="preserve"> Кроме того, </w:t>
      </w:r>
      <w:r w:rsidR="00B067A2" w:rsidRPr="00234784">
        <w:rPr>
          <w:rFonts w:ascii="Times New Roman" w:hAnsi="Times New Roman"/>
          <w:sz w:val="28"/>
          <w:szCs w:val="28"/>
        </w:rPr>
        <w:t>требуется обеспечение бесперебойного функционирования подвижной радиотелефонной связи на автомобильных дорогах федерального, регионального и межмуниципального значения</w:t>
      </w:r>
      <w:r w:rsidR="00234784">
        <w:rPr>
          <w:rFonts w:ascii="Times New Roman" w:hAnsi="Times New Roman"/>
          <w:sz w:val="28"/>
          <w:szCs w:val="28"/>
        </w:rPr>
        <w:t>, поскольку на многих участках федеральных трасс такая связь отсутствует.</w:t>
      </w:r>
      <w:r w:rsidR="00234784">
        <w:rPr>
          <w:rStyle w:val="aa"/>
          <w:rFonts w:ascii="Times New Roman" w:hAnsi="Times New Roman"/>
          <w:sz w:val="28"/>
          <w:szCs w:val="28"/>
        </w:rPr>
        <w:footnoteReference w:id="13"/>
      </w:r>
      <w:r w:rsidR="00234784">
        <w:rPr>
          <w:rFonts w:ascii="Times New Roman" w:hAnsi="Times New Roman"/>
          <w:sz w:val="28"/>
          <w:szCs w:val="28"/>
        </w:rPr>
        <w:t xml:space="preserve"> При этом </w:t>
      </w:r>
      <w:r w:rsidR="00234784" w:rsidRPr="00234784">
        <w:rPr>
          <w:rFonts w:ascii="Times New Roman" w:hAnsi="Times New Roman"/>
          <w:sz w:val="28"/>
          <w:szCs w:val="28"/>
        </w:rPr>
        <w:t>финансировани</w:t>
      </w:r>
      <w:r w:rsidR="00234784">
        <w:rPr>
          <w:rFonts w:ascii="Times New Roman" w:hAnsi="Times New Roman"/>
          <w:sz w:val="28"/>
          <w:szCs w:val="28"/>
        </w:rPr>
        <w:t>е</w:t>
      </w:r>
      <w:r w:rsidR="00234784" w:rsidRPr="00234784">
        <w:rPr>
          <w:rFonts w:ascii="Times New Roman" w:hAnsi="Times New Roman"/>
          <w:sz w:val="28"/>
          <w:szCs w:val="28"/>
        </w:rPr>
        <w:t xml:space="preserve"> </w:t>
      </w:r>
      <w:r w:rsidR="00234784">
        <w:rPr>
          <w:rFonts w:ascii="Times New Roman" w:hAnsi="Times New Roman"/>
          <w:sz w:val="28"/>
          <w:szCs w:val="28"/>
        </w:rPr>
        <w:t xml:space="preserve">на </w:t>
      </w:r>
      <w:r w:rsidR="00234784" w:rsidRPr="00234784">
        <w:rPr>
          <w:rFonts w:ascii="Times New Roman" w:hAnsi="Times New Roman"/>
          <w:sz w:val="28"/>
          <w:szCs w:val="28"/>
        </w:rPr>
        <w:t>2016</w:t>
      </w:r>
      <w:r w:rsidR="00234784">
        <w:rPr>
          <w:rFonts w:ascii="Times New Roman" w:hAnsi="Times New Roman"/>
          <w:sz w:val="28"/>
          <w:szCs w:val="28"/>
        </w:rPr>
        <w:t>-2018 гг.</w:t>
      </w:r>
      <w:r w:rsidR="00234784" w:rsidRPr="00234784">
        <w:rPr>
          <w:rFonts w:ascii="Times New Roman" w:hAnsi="Times New Roman"/>
          <w:sz w:val="28"/>
          <w:szCs w:val="28"/>
        </w:rPr>
        <w:t xml:space="preserve"> из средств федерального бюджета на реализацию </w:t>
      </w:r>
      <w:r w:rsidR="00234784">
        <w:rPr>
          <w:rFonts w:ascii="Times New Roman" w:hAnsi="Times New Roman"/>
          <w:sz w:val="28"/>
          <w:szCs w:val="28"/>
        </w:rPr>
        <w:t>этих</w:t>
      </w:r>
      <w:r w:rsidR="00234784" w:rsidRPr="00234784">
        <w:rPr>
          <w:rFonts w:ascii="Times New Roman" w:hAnsi="Times New Roman"/>
          <w:sz w:val="28"/>
          <w:szCs w:val="28"/>
        </w:rPr>
        <w:t xml:space="preserve"> мероприятий</w:t>
      </w:r>
      <w:r w:rsidR="00234784">
        <w:rPr>
          <w:rFonts w:ascii="Times New Roman" w:hAnsi="Times New Roman"/>
          <w:sz w:val="28"/>
          <w:szCs w:val="28"/>
        </w:rPr>
        <w:t xml:space="preserve"> не предусмотрено, и существует насущная необходимость изыскивать иные возможности для реализации поставленных задач, включая </w:t>
      </w:r>
      <w:r w:rsidR="00234784" w:rsidRPr="00234784">
        <w:rPr>
          <w:rFonts w:ascii="Times New Roman" w:hAnsi="Times New Roman"/>
          <w:sz w:val="28"/>
          <w:szCs w:val="28"/>
        </w:rPr>
        <w:t xml:space="preserve">технологическое присоединение </w:t>
      </w:r>
      <w:r w:rsidR="00234784" w:rsidRPr="00234784">
        <w:rPr>
          <w:rFonts w:ascii="Times New Roman" w:hAnsi="Times New Roman"/>
          <w:sz w:val="28"/>
          <w:szCs w:val="28"/>
        </w:rPr>
        <w:lastRenderedPageBreak/>
        <w:t>строящихся объектов связи к источникам электропитания, используемым для освещения автодорог и объектов дорожного сервиса</w:t>
      </w:r>
      <w:r w:rsidR="00234784">
        <w:rPr>
          <w:rFonts w:ascii="Times New Roman" w:hAnsi="Times New Roman"/>
          <w:sz w:val="28"/>
          <w:szCs w:val="28"/>
        </w:rPr>
        <w:t>.</w:t>
      </w:r>
    </w:p>
    <w:p w:rsidR="00BE4F9C" w:rsidRPr="00820FBA" w:rsidRDefault="00533643" w:rsidP="00BE4F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Можно выделить несколько основных причин того, что п</w:t>
      </w:r>
      <w:r w:rsidR="00BE4F9C" w:rsidRPr="00820FBA">
        <w:rPr>
          <w:rFonts w:ascii="Times New Roman" w:hAnsi="Times New Roman"/>
          <w:sz w:val="28"/>
          <w:szCs w:val="28"/>
        </w:rPr>
        <w:t xml:space="preserve">ериод устойчивого экономического роста России не привел к значительному притоку инвестиций </w:t>
      </w:r>
      <w:r w:rsidR="008A22AF" w:rsidRPr="00820FBA">
        <w:rPr>
          <w:rFonts w:ascii="Times New Roman" w:hAnsi="Times New Roman"/>
          <w:sz w:val="28"/>
          <w:szCs w:val="28"/>
        </w:rPr>
        <w:t xml:space="preserve">(частных и/или государственных) </w:t>
      </w:r>
      <w:r w:rsidR="00BE4F9C" w:rsidRPr="00820FBA">
        <w:rPr>
          <w:rFonts w:ascii="Times New Roman" w:hAnsi="Times New Roman"/>
          <w:sz w:val="28"/>
          <w:szCs w:val="28"/>
        </w:rPr>
        <w:t>в инфраструктурную сферу</w:t>
      </w:r>
      <w:r w:rsidR="008A22AF" w:rsidRPr="00820FBA">
        <w:rPr>
          <w:rFonts w:ascii="Times New Roman" w:hAnsi="Times New Roman"/>
          <w:sz w:val="28"/>
          <w:szCs w:val="28"/>
        </w:rPr>
        <w:t xml:space="preserve">, в том числе в </w:t>
      </w:r>
      <w:r w:rsidR="00BC364D" w:rsidRPr="00820FBA">
        <w:rPr>
          <w:rFonts w:ascii="Times New Roman" w:hAnsi="Times New Roman"/>
          <w:sz w:val="28"/>
          <w:szCs w:val="28"/>
        </w:rPr>
        <w:t>отрасли связи</w:t>
      </w:r>
      <w:r w:rsidR="008A22AF" w:rsidRPr="00820FBA">
        <w:rPr>
          <w:rFonts w:ascii="Times New Roman" w:hAnsi="Times New Roman"/>
          <w:sz w:val="28"/>
          <w:szCs w:val="28"/>
        </w:rPr>
        <w:t xml:space="preserve"> (за исключением мобильной связи)</w:t>
      </w:r>
      <w:r w:rsidRPr="00820FBA">
        <w:rPr>
          <w:rFonts w:ascii="Times New Roman" w:hAnsi="Times New Roman"/>
          <w:sz w:val="28"/>
          <w:szCs w:val="28"/>
        </w:rPr>
        <w:t>:</w:t>
      </w:r>
    </w:p>
    <w:p w:rsidR="00BE4F9C" w:rsidRPr="00820FBA" w:rsidRDefault="008A22AF" w:rsidP="00BE4F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н</w:t>
      </w:r>
      <w:r w:rsidR="00BE4F9C" w:rsidRPr="00820FBA">
        <w:rPr>
          <w:rFonts w:ascii="Times New Roman" w:hAnsi="Times New Roman"/>
          <w:sz w:val="28"/>
          <w:szCs w:val="28"/>
        </w:rPr>
        <w:t>едостаток бюджетных средств</w:t>
      </w:r>
      <w:r w:rsidR="00C56AC0">
        <w:rPr>
          <w:rFonts w:ascii="Times New Roman" w:hAnsi="Times New Roman"/>
          <w:sz w:val="28"/>
          <w:szCs w:val="28"/>
        </w:rPr>
        <w:t xml:space="preserve"> на</w:t>
      </w:r>
      <w:r w:rsidR="00BE4F9C" w:rsidRPr="00820FBA">
        <w:rPr>
          <w:rFonts w:ascii="Times New Roman" w:hAnsi="Times New Roman"/>
          <w:sz w:val="28"/>
          <w:szCs w:val="28"/>
        </w:rPr>
        <w:t xml:space="preserve"> инвестировани</w:t>
      </w:r>
      <w:r w:rsidR="00C56AC0">
        <w:rPr>
          <w:rFonts w:ascii="Times New Roman" w:hAnsi="Times New Roman"/>
          <w:sz w:val="28"/>
          <w:szCs w:val="28"/>
        </w:rPr>
        <w:t>е</w:t>
      </w:r>
      <w:r w:rsidR="00BE4F9C" w:rsidRPr="00820FBA">
        <w:rPr>
          <w:rFonts w:ascii="Times New Roman" w:hAnsi="Times New Roman"/>
          <w:sz w:val="28"/>
          <w:szCs w:val="28"/>
        </w:rPr>
        <w:t xml:space="preserve"> в объекты инфраструктуры, приоритет решения текущих социальных проблем</w:t>
      </w:r>
      <w:r w:rsidRPr="00820FBA">
        <w:rPr>
          <w:rFonts w:ascii="Times New Roman" w:hAnsi="Times New Roman"/>
          <w:sz w:val="28"/>
          <w:szCs w:val="28"/>
        </w:rPr>
        <w:t>;</w:t>
      </w:r>
    </w:p>
    <w:p w:rsidR="00BE4F9C" w:rsidRPr="00820FBA" w:rsidRDefault="008A22AF" w:rsidP="00BE4F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в</w:t>
      </w:r>
      <w:r w:rsidR="00BE4F9C" w:rsidRPr="00820FBA">
        <w:rPr>
          <w:rFonts w:ascii="Times New Roman" w:hAnsi="Times New Roman"/>
          <w:sz w:val="28"/>
          <w:szCs w:val="28"/>
        </w:rPr>
        <w:t>ысокие риски инвестирования в капиталоемкие объекты, отсутствие государственных гарантий</w:t>
      </w:r>
      <w:r w:rsidRPr="00820FBA">
        <w:rPr>
          <w:rFonts w:ascii="Times New Roman" w:hAnsi="Times New Roman"/>
          <w:sz w:val="28"/>
          <w:szCs w:val="28"/>
        </w:rPr>
        <w:t>;</w:t>
      </w:r>
    </w:p>
    <w:p w:rsidR="00BE4F9C" w:rsidRPr="00820FBA" w:rsidRDefault="008A22AF" w:rsidP="00BE4F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о</w:t>
      </w:r>
      <w:r w:rsidR="00BE4F9C" w:rsidRPr="00820FBA">
        <w:rPr>
          <w:rFonts w:ascii="Times New Roman" w:hAnsi="Times New Roman"/>
          <w:sz w:val="28"/>
          <w:szCs w:val="28"/>
        </w:rPr>
        <w:t>тсутствие п</w:t>
      </w:r>
      <w:r w:rsidR="00BC364D" w:rsidRPr="00820FBA">
        <w:rPr>
          <w:rFonts w:ascii="Times New Roman" w:hAnsi="Times New Roman"/>
          <w:sz w:val="28"/>
          <w:szCs w:val="28"/>
        </w:rPr>
        <w:t>латежеспособной клиентской базы</w:t>
      </w:r>
      <w:r w:rsidRPr="00820FBA">
        <w:rPr>
          <w:rFonts w:ascii="Times New Roman" w:hAnsi="Times New Roman"/>
          <w:sz w:val="28"/>
          <w:szCs w:val="28"/>
        </w:rPr>
        <w:t>;</w:t>
      </w:r>
    </w:p>
    <w:p w:rsidR="00BC364D" w:rsidRPr="00820FBA" w:rsidRDefault="008A22AF" w:rsidP="00BE4F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к</w:t>
      </w:r>
      <w:r w:rsidR="00BC364D" w:rsidRPr="00820FBA">
        <w:rPr>
          <w:rFonts w:ascii="Times New Roman" w:hAnsi="Times New Roman"/>
          <w:sz w:val="28"/>
          <w:szCs w:val="28"/>
        </w:rPr>
        <w:t>онцентрация частного бизнеса в наиболее высокорентабельных сегментах отрасли связи (прежде всего мобильной связи)</w:t>
      </w:r>
      <w:r w:rsidRPr="00820FBA">
        <w:rPr>
          <w:rFonts w:ascii="Times New Roman" w:hAnsi="Times New Roman"/>
          <w:sz w:val="28"/>
          <w:szCs w:val="28"/>
        </w:rPr>
        <w:t>;</w:t>
      </w:r>
    </w:p>
    <w:p w:rsidR="00BE4F9C" w:rsidRPr="00820FBA" w:rsidRDefault="008A22AF" w:rsidP="00BE4F9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о</w:t>
      </w:r>
      <w:r w:rsidR="00BE4F9C" w:rsidRPr="00820FBA">
        <w:rPr>
          <w:rFonts w:ascii="Times New Roman" w:hAnsi="Times New Roman"/>
          <w:sz w:val="28"/>
          <w:szCs w:val="28"/>
        </w:rPr>
        <w:t>бщая неготовность государства к передаче определенных прав на инфраструктуру частному бизнесу и неготовность частного бизнеса выступить ответственным и квалифицированным собственником и инвестором.</w:t>
      </w:r>
    </w:p>
    <w:p w:rsidR="00F106F0" w:rsidRPr="00820FBA" w:rsidRDefault="009345E1" w:rsidP="00425D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>Перспективными направлениями развития инфраструктуры связи может стать обеспечение современными услугами связи удаленных районов России, образовательных и социальных учреждений, строительство трансграничных переходов в части межгосударственного сотрудничества, дальнейшего развития спутникового сегмента космической связи России. Все эти направления характеризуются высоким объемо</w:t>
      </w:r>
      <w:r w:rsidR="00F106F0" w:rsidRPr="00820FBA">
        <w:rPr>
          <w:rFonts w:ascii="Times New Roman" w:hAnsi="Times New Roman"/>
          <w:sz w:val="28"/>
          <w:szCs w:val="28"/>
        </w:rPr>
        <w:t>м</w:t>
      </w:r>
      <w:r w:rsidRPr="00820FBA">
        <w:rPr>
          <w:rFonts w:ascii="Times New Roman" w:hAnsi="Times New Roman"/>
          <w:sz w:val="28"/>
          <w:szCs w:val="28"/>
        </w:rPr>
        <w:t xml:space="preserve"> первоначальных капитальных вложений, долгим сроком окупаемости и значительными рисками. </w:t>
      </w:r>
    </w:p>
    <w:p w:rsidR="009846AE" w:rsidRDefault="009345E1" w:rsidP="00425D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FBA">
        <w:rPr>
          <w:rFonts w:ascii="Times New Roman" w:hAnsi="Times New Roman"/>
          <w:sz w:val="28"/>
          <w:szCs w:val="28"/>
        </w:rPr>
        <w:t xml:space="preserve">Таким образом, </w:t>
      </w:r>
      <w:r w:rsidR="00F106F0" w:rsidRPr="00820FBA">
        <w:rPr>
          <w:rFonts w:ascii="Times New Roman" w:hAnsi="Times New Roman"/>
          <w:sz w:val="28"/>
          <w:szCs w:val="28"/>
        </w:rPr>
        <w:t xml:space="preserve">основной </w:t>
      </w:r>
      <w:r w:rsidRPr="00820FBA">
        <w:rPr>
          <w:rFonts w:ascii="Times New Roman" w:hAnsi="Times New Roman"/>
          <w:sz w:val="28"/>
          <w:szCs w:val="28"/>
        </w:rPr>
        <w:t>з</w:t>
      </w:r>
      <w:r w:rsidR="00425D83" w:rsidRPr="00820FBA">
        <w:rPr>
          <w:rFonts w:ascii="Times New Roman" w:hAnsi="Times New Roman"/>
          <w:sz w:val="28"/>
          <w:szCs w:val="28"/>
        </w:rPr>
        <w:t xml:space="preserve">адачей </w:t>
      </w:r>
      <w:r w:rsidR="00F106F0" w:rsidRPr="00820FBA">
        <w:rPr>
          <w:rFonts w:ascii="Times New Roman" w:hAnsi="Times New Roman"/>
          <w:sz w:val="28"/>
          <w:szCs w:val="28"/>
        </w:rPr>
        <w:t xml:space="preserve">государства на сегодняшний день </w:t>
      </w:r>
      <w:r w:rsidR="00425D83" w:rsidRPr="00820FBA">
        <w:rPr>
          <w:rFonts w:ascii="Times New Roman" w:hAnsi="Times New Roman"/>
          <w:sz w:val="28"/>
          <w:szCs w:val="28"/>
        </w:rPr>
        <w:t xml:space="preserve">является </w:t>
      </w:r>
      <w:r w:rsidR="00F106F0" w:rsidRPr="00820FBA">
        <w:rPr>
          <w:rFonts w:ascii="Times New Roman" w:hAnsi="Times New Roman"/>
          <w:sz w:val="28"/>
          <w:szCs w:val="28"/>
        </w:rPr>
        <w:t xml:space="preserve">такое обеспечение </w:t>
      </w:r>
      <w:r w:rsidR="00425D83" w:rsidRPr="00820FBA">
        <w:rPr>
          <w:rFonts w:ascii="Times New Roman" w:hAnsi="Times New Roman"/>
          <w:sz w:val="28"/>
          <w:szCs w:val="28"/>
        </w:rPr>
        <w:t>развити</w:t>
      </w:r>
      <w:r w:rsidR="00F106F0" w:rsidRPr="00820FBA">
        <w:rPr>
          <w:rFonts w:ascii="Times New Roman" w:hAnsi="Times New Roman"/>
          <w:sz w:val="28"/>
          <w:szCs w:val="28"/>
        </w:rPr>
        <w:t>я</w:t>
      </w:r>
      <w:r w:rsidR="00425D83" w:rsidRPr="00820FBA">
        <w:rPr>
          <w:rFonts w:ascii="Times New Roman" w:hAnsi="Times New Roman"/>
          <w:sz w:val="28"/>
          <w:szCs w:val="28"/>
        </w:rPr>
        <w:t xml:space="preserve"> инфраструктуры </w:t>
      </w:r>
      <w:r w:rsidR="00A66D9A" w:rsidRPr="00820FBA">
        <w:rPr>
          <w:rFonts w:ascii="Times New Roman" w:hAnsi="Times New Roman"/>
          <w:sz w:val="28"/>
          <w:szCs w:val="28"/>
        </w:rPr>
        <w:t>связи</w:t>
      </w:r>
      <w:r w:rsidR="00F106F0" w:rsidRPr="00820FBA">
        <w:rPr>
          <w:rFonts w:ascii="Times New Roman" w:hAnsi="Times New Roman"/>
          <w:sz w:val="28"/>
          <w:szCs w:val="28"/>
        </w:rPr>
        <w:t xml:space="preserve">, при котором </w:t>
      </w:r>
      <w:r w:rsidR="00425D83" w:rsidRPr="00820FBA">
        <w:rPr>
          <w:rFonts w:ascii="Times New Roman" w:hAnsi="Times New Roman"/>
          <w:sz w:val="28"/>
          <w:szCs w:val="28"/>
        </w:rPr>
        <w:t xml:space="preserve">продукция (услуга) связи будет </w:t>
      </w:r>
      <w:r w:rsidR="00A66D9A" w:rsidRPr="00820FBA">
        <w:rPr>
          <w:rFonts w:ascii="Times New Roman" w:hAnsi="Times New Roman"/>
          <w:sz w:val="28"/>
          <w:szCs w:val="28"/>
        </w:rPr>
        <w:t>пользоваться устойчивым спросом и послужит основой развития инновационной экономики Рос</w:t>
      </w:r>
      <w:r w:rsidRPr="00820FBA">
        <w:rPr>
          <w:rFonts w:ascii="Times New Roman" w:hAnsi="Times New Roman"/>
          <w:sz w:val="28"/>
          <w:szCs w:val="28"/>
        </w:rPr>
        <w:t>с</w:t>
      </w:r>
      <w:r w:rsidR="00A66D9A" w:rsidRPr="00820FBA">
        <w:rPr>
          <w:rFonts w:ascii="Times New Roman" w:hAnsi="Times New Roman"/>
          <w:sz w:val="28"/>
          <w:szCs w:val="28"/>
        </w:rPr>
        <w:t>ии</w:t>
      </w:r>
      <w:r w:rsidR="00F106F0" w:rsidRPr="00820FBA">
        <w:rPr>
          <w:rFonts w:ascii="Times New Roman" w:hAnsi="Times New Roman"/>
          <w:sz w:val="28"/>
          <w:szCs w:val="28"/>
        </w:rPr>
        <w:t xml:space="preserve">. </w:t>
      </w:r>
      <w:r w:rsidR="00F106F0" w:rsidRPr="00820FBA">
        <w:rPr>
          <w:rFonts w:ascii="Times New Roman" w:hAnsi="Times New Roman"/>
          <w:sz w:val="28"/>
          <w:szCs w:val="28"/>
        </w:rPr>
        <w:lastRenderedPageBreak/>
        <w:t xml:space="preserve">Поставленная задача может быть решена </w:t>
      </w:r>
      <w:r w:rsidR="00195022" w:rsidRPr="00820FBA">
        <w:rPr>
          <w:rFonts w:ascii="Times New Roman" w:hAnsi="Times New Roman"/>
          <w:sz w:val="28"/>
          <w:szCs w:val="28"/>
        </w:rPr>
        <w:t xml:space="preserve">на основе долгосрочных взаимовыгодных отношений государства и </w:t>
      </w:r>
      <w:proofErr w:type="gramStart"/>
      <w:r w:rsidR="00195022" w:rsidRPr="00820FBA">
        <w:rPr>
          <w:rFonts w:ascii="Times New Roman" w:hAnsi="Times New Roman"/>
          <w:sz w:val="28"/>
          <w:szCs w:val="28"/>
        </w:rPr>
        <w:t>бизнес</w:t>
      </w:r>
      <w:r w:rsidR="00152B70" w:rsidRPr="00820FBA">
        <w:rPr>
          <w:rFonts w:ascii="Times New Roman" w:hAnsi="Times New Roman"/>
          <w:sz w:val="28"/>
          <w:szCs w:val="28"/>
        </w:rPr>
        <w:t>-</w:t>
      </w:r>
      <w:r w:rsidR="00195022" w:rsidRPr="00820FBA">
        <w:rPr>
          <w:rFonts w:ascii="Times New Roman" w:hAnsi="Times New Roman"/>
          <w:sz w:val="28"/>
          <w:szCs w:val="28"/>
        </w:rPr>
        <w:t>сообщества</w:t>
      </w:r>
      <w:proofErr w:type="gramEnd"/>
      <w:r w:rsidR="00195022" w:rsidRPr="00820FBA">
        <w:rPr>
          <w:rFonts w:ascii="Times New Roman" w:hAnsi="Times New Roman"/>
          <w:sz w:val="28"/>
          <w:szCs w:val="28"/>
        </w:rPr>
        <w:t>.</w:t>
      </w:r>
    </w:p>
    <w:p w:rsidR="00195022" w:rsidRDefault="00195022" w:rsidP="001950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4D14" w:rsidRDefault="00BC4D14" w:rsidP="003F1B7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4D14">
        <w:rPr>
          <w:rFonts w:ascii="Times New Roman" w:hAnsi="Times New Roman"/>
          <w:b/>
          <w:sz w:val="28"/>
          <w:szCs w:val="28"/>
        </w:rPr>
        <w:t xml:space="preserve">Современная российская и мировая практика </w:t>
      </w:r>
      <w:r w:rsidR="003F1B78">
        <w:rPr>
          <w:rFonts w:ascii="Times New Roman" w:hAnsi="Times New Roman"/>
          <w:b/>
          <w:sz w:val="28"/>
          <w:szCs w:val="28"/>
        </w:rPr>
        <w:t>ГЧП</w:t>
      </w:r>
    </w:p>
    <w:p w:rsidR="008A7ECF" w:rsidRDefault="008A7ECF" w:rsidP="008A7E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практика создания ГЧП показывает, что проекты могут осуществляться в различных отраслях: транспорт, коммунальное хозяйство, телекоммуникации, финансовый сектор, экология, образование и т.д. В России преобладают ГЧП-проекты в дорожном строительстве, энергетике, инженерной и транспортной инфраструктур</w:t>
      </w:r>
      <w:r w:rsidR="00937095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. Как в России, так и за</w:t>
      </w:r>
      <w:r w:rsidR="00A87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рубежом наибольшее распространение получили три формы ГЧП: технопарки, концессии и особые экономические зоны (ОЭЗ). </w:t>
      </w:r>
    </w:p>
    <w:p w:rsidR="008A7ECF" w:rsidRDefault="00B442B6" w:rsidP="00B442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Технопарками принято считать инновационные, индустриальные и технологические центры при государственных университетах, институтах и образовательных учреждениях, предполагающие наличие в рамках одной или смежн</w:t>
      </w:r>
      <w:r w:rsidR="009370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93709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офисных площадей, производственных площадей, лабораторных и научных комплексов, образовательных учреждений и логистического комплекса. </w:t>
      </w:r>
      <w:proofErr w:type="gramStart"/>
      <w:r>
        <w:rPr>
          <w:rFonts w:ascii="Times New Roman" w:hAnsi="Times New Roman"/>
          <w:sz w:val="28"/>
          <w:szCs w:val="28"/>
        </w:rPr>
        <w:t>Общеизвестным определением технопарка является</w:t>
      </w:r>
      <w:r w:rsidR="00937095">
        <w:rPr>
          <w:rFonts w:ascii="Times New Roman" w:hAnsi="Times New Roman"/>
          <w:sz w:val="28"/>
          <w:szCs w:val="28"/>
        </w:rPr>
        <w:t xml:space="preserve"> следующее</w:t>
      </w:r>
      <w:r>
        <w:rPr>
          <w:rFonts w:ascii="Times New Roman" w:hAnsi="Times New Roman"/>
          <w:sz w:val="28"/>
          <w:szCs w:val="28"/>
        </w:rPr>
        <w:t xml:space="preserve">: </w:t>
      </w:r>
      <w:r w:rsidR="00937095">
        <w:rPr>
          <w:rFonts w:ascii="Times New Roman" w:hAnsi="Times New Roman"/>
          <w:sz w:val="28"/>
          <w:szCs w:val="28"/>
        </w:rPr>
        <w:t xml:space="preserve">технопарк – это </w:t>
      </w:r>
      <w:r>
        <w:rPr>
          <w:rFonts w:ascii="Times New Roman" w:hAnsi="Times New Roman"/>
          <w:sz w:val="28"/>
          <w:szCs w:val="28"/>
        </w:rPr>
        <w:t>специальная территория, на которой объединены научно-исследовательские организации, объекты индустрии, деловые центры, выставочные площадки, учебные заведения, а также обслуживающие объекты</w:t>
      </w:r>
      <w:r w:rsidR="0093709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транспорт, связь, жилой поселок.</w:t>
      </w:r>
      <w:proofErr w:type="gramEnd"/>
    </w:p>
    <w:p w:rsidR="00F80796" w:rsidRDefault="00B442B6" w:rsidP="00B442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ярким примером успешного технопарка является т</w:t>
      </w:r>
      <w:r w:rsidR="00937095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>н</w:t>
      </w:r>
      <w:r w:rsidR="00937095">
        <w:rPr>
          <w:rFonts w:ascii="Times New Roman" w:hAnsi="Times New Roman"/>
          <w:sz w:val="28"/>
          <w:szCs w:val="28"/>
        </w:rPr>
        <w:t xml:space="preserve">азываемая </w:t>
      </w:r>
      <w:r>
        <w:rPr>
          <w:rFonts w:ascii="Times New Roman" w:hAnsi="Times New Roman"/>
          <w:sz w:val="28"/>
          <w:szCs w:val="28"/>
        </w:rPr>
        <w:t xml:space="preserve">«Силиконовая долина», которая была организована в США в начале 1950-х </w:t>
      </w:r>
      <w:r w:rsidR="00937095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 w:rsidR="0093709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нфордского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Университета при активном содействии правительства штата Калифорния. Первый технопарк в России был создан в </w:t>
      </w:r>
      <w:smartTag w:uri="urn:schemas-microsoft-com:office:smarttags" w:element="metricconverter">
        <w:smartTagPr>
          <w:attr w:name="ProductID" w:val="1990 г"/>
        </w:smartTagPr>
        <w:r>
          <w:rPr>
            <w:rFonts w:ascii="Times New Roman" w:hAnsi="Times New Roman"/>
            <w:sz w:val="28"/>
            <w:szCs w:val="28"/>
          </w:rPr>
          <w:t>1990 г</w:t>
        </w:r>
      </w:smartTag>
      <w:r>
        <w:rPr>
          <w:rFonts w:ascii="Times New Roman" w:hAnsi="Times New Roman"/>
          <w:sz w:val="28"/>
          <w:szCs w:val="28"/>
        </w:rPr>
        <w:t xml:space="preserve">. – Томский научно-технологический парк. </w:t>
      </w:r>
    </w:p>
    <w:p w:rsidR="00CE121A" w:rsidRDefault="00820FBA" w:rsidP="00ED1A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121A">
        <w:rPr>
          <w:rFonts w:ascii="Times New Roman" w:hAnsi="Times New Roman"/>
          <w:sz w:val="28"/>
          <w:szCs w:val="28"/>
        </w:rPr>
        <w:t xml:space="preserve">дной из самых эффективных форм ГЧП являются </w:t>
      </w:r>
      <w:r>
        <w:rPr>
          <w:rFonts w:ascii="Times New Roman" w:hAnsi="Times New Roman"/>
          <w:sz w:val="28"/>
          <w:szCs w:val="28"/>
        </w:rPr>
        <w:t xml:space="preserve">в мировой практике </w:t>
      </w:r>
      <w:r w:rsidR="006764DC">
        <w:rPr>
          <w:rFonts w:ascii="Times New Roman" w:hAnsi="Times New Roman"/>
          <w:sz w:val="28"/>
          <w:szCs w:val="28"/>
        </w:rPr>
        <w:t xml:space="preserve">особые </w:t>
      </w:r>
      <w:r w:rsidR="00CE121A">
        <w:rPr>
          <w:rFonts w:ascii="Times New Roman" w:hAnsi="Times New Roman"/>
          <w:sz w:val="28"/>
          <w:szCs w:val="28"/>
        </w:rPr>
        <w:t>экономические зоны</w:t>
      </w:r>
      <w:r w:rsidR="006764DC">
        <w:rPr>
          <w:rFonts w:ascii="Times New Roman" w:hAnsi="Times New Roman"/>
          <w:sz w:val="28"/>
          <w:szCs w:val="28"/>
        </w:rPr>
        <w:t xml:space="preserve"> (далее – О</w:t>
      </w:r>
      <w:r>
        <w:rPr>
          <w:rFonts w:ascii="Times New Roman" w:hAnsi="Times New Roman"/>
          <w:sz w:val="28"/>
          <w:szCs w:val="28"/>
        </w:rPr>
        <w:t>Э</w:t>
      </w:r>
      <w:r w:rsidR="006764DC">
        <w:rPr>
          <w:rFonts w:ascii="Times New Roman" w:hAnsi="Times New Roman"/>
          <w:sz w:val="28"/>
          <w:szCs w:val="28"/>
        </w:rPr>
        <w:t>З)</w:t>
      </w:r>
      <w:r w:rsidR="00CE121A">
        <w:rPr>
          <w:rFonts w:ascii="Times New Roman" w:hAnsi="Times New Roman"/>
          <w:sz w:val="28"/>
          <w:szCs w:val="28"/>
        </w:rPr>
        <w:t xml:space="preserve">, призванные служить инструментом привлечения иностранных инвестиций, передовых технологий </w:t>
      </w:r>
      <w:r w:rsidR="00ED1A9E">
        <w:rPr>
          <w:rFonts w:ascii="Times New Roman" w:hAnsi="Times New Roman"/>
          <w:sz w:val="28"/>
          <w:szCs w:val="28"/>
        </w:rPr>
        <w:t>и трудовых ресурсов в национальную экономику.</w:t>
      </w:r>
      <w:r w:rsidR="00124ACF">
        <w:rPr>
          <w:rFonts w:ascii="Times New Roman" w:hAnsi="Times New Roman"/>
          <w:sz w:val="28"/>
          <w:szCs w:val="28"/>
        </w:rPr>
        <w:t xml:space="preserve"> </w:t>
      </w:r>
    </w:p>
    <w:p w:rsidR="00894205" w:rsidRDefault="00894205" w:rsidP="008942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820FBA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З представляет собой обособленную территорию государства, на которой </w:t>
      </w:r>
      <w:r w:rsidR="006764DC">
        <w:rPr>
          <w:rFonts w:ascii="Times New Roman" w:hAnsi="Times New Roman"/>
          <w:sz w:val="28"/>
          <w:szCs w:val="28"/>
        </w:rPr>
        <w:t xml:space="preserve">созданы благоприятные условия для деятельности иностранных предприятий, решающих </w:t>
      </w:r>
      <w:r>
        <w:rPr>
          <w:rFonts w:ascii="Times New Roman" w:hAnsi="Times New Roman"/>
          <w:sz w:val="28"/>
          <w:szCs w:val="28"/>
        </w:rPr>
        <w:t>конкретны</w:t>
      </w:r>
      <w:r w:rsidR="006764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экономически</w:t>
      </w:r>
      <w:r w:rsidR="006764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или ины</w:t>
      </w:r>
      <w:r w:rsidR="006764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задач</w:t>
      </w:r>
      <w:r w:rsidR="006764D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Наиболее удачным примером создания О</w:t>
      </w:r>
      <w:r w:rsidR="00820FBA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З принято считать ОСЗ Китая. </w:t>
      </w:r>
      <w:r w:rsidRPr="00894205">
        <w:rPr>
          <w:rFonts w:ascii="Times New Roman" w:hAnsi="Times New Roman"/>
          <w:sz w:val="28"/>
          <w:szCs w:val="28"/>
        </w:rPr>
        <w:t xml:space="preserve">Для привлечения иностранного капитала в экономику КНР в конце 70-х годов в двух приморских провинциях - </w:t>
      </w:r>
      <w:proofErr w:type="spellStart"/>
      <w:r w:rsidRPr="00894205">
        <w:rPr>
          <w:rFonts w:ascii="Times New Roman" w:hAnsi="Times New Roman"/>
          <w:sz w:val="28"/>
          <w:szCs w:val="28"/>
        </w:rPr>
        <w:t>Гуандун</w:t>
      </w:r>
      <w:proofErr w:type="spellEnd"/>
      <w:r w:rsidRPr="0089420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94205">
        <w:rPr>
          <w:rFonts w:ascii="Times New Roman" w:hAnsi="Times New Roman"/>
          <w:sz w:val="28"/>
          <w:szCs w:val="28"/>
        </w:rPr>
        <w:t>Фуцзянь</w:t>
      </w:r>
      <w:proofErr w:type="spellEnd"/>
      <w:r w:rsidRPr="00894205">
        <w:rPr>
          <w:rFonts w:ascii="Times New Roman" w:hAnsi="Times New Roman"/>
          <w:sz w:val="28"/>
          <w:szCs w:val="28"/>
        </w:rPr>
        <w:t xml:space="preserve"> были созданы четыре </w:t>
      </w:r>
      <w:r>
        <w:rPr>
          <w:rFonts w:ascii="Times New Roman" w:hAnsi="Times New Roman"/>
          <w:sz w:val="28"/>
          <w:szCs w:val="28"/>
        </w:rPr>
        <w:t>ОЭЗ</w:t>
      </w:r>
      <w:r w:rsidRPr="00894205">
        <w:rPr>
          <w:rFonts w:ascii="Times New Roman" w:hAnsi="Times New Roman"/>
          <w:sz w:val="28"/>
          <w:szCs w:val="28"/>
        </w:rPr>
        <w:t xml:space="preserve">, где инвесторам предоставлялись необходимые правовые гарантии. В апреле </w:t>
      </w:r>
      <w:smartTag w:uri="urn:schemas-microsoft-com:office:smarttags" w:element="metricconverter">
        <w:smartTagPr>
          <w:attr w:name="ProductID" w:val="1988 г"/>
        </w:smartTagPr>
        <w:r w:rsidRPr="00894205">
          <w:rPr>
            <w:rFonts w:ascii="Times New Roman" w:hAnsi="Times New Roman"/>
            <w:sz w:val="28"/>
            <w:szCs w:val="28"/>
          </w:rPr>
          <w:t>1988 г</w:t>
        </w:r>
      </w:smartTag>
      <w:r w:rsidRPr="00894205">
        <w:rPr>
          <w:rFonts w:ascii="Times New Roman" w:hAnsi="Times New Roman"/>
          <w:sz w:val="28"/>
          <w:szCs w:val="28"/>
        </w:rPr>
        <w:t xml:space="preserve">. на сессии ВСНП было принято решение об образовании еще одной ОЭЗ на острове </w:t>
      </w:r>
      <w:proofErr w:type="spellStart"/>
      <w:r w:rsidRPr="00894205">
        <w:rPr>
          <w:rFonts w:ascii="Times New Roman" w:hAnsi="Times New Roman"/>
          <w:sz w:val="28"/>
          <w:szCs w:val="28"/>
        </w:rPr>
        <w:t>Хайнань</w:t>
      </w:r>
      <w:proofErr w:type="spellEnd"/>
      <w:r w:rsidRPr="00894205">
        <w:rPr>
          <w:rFonts w:ascii="Times New Roman" w:hAnsi="Times New Roman"/>
          <w:sz w:val="28"/>
          <w:szCs w:val="28"/>
        </w:rPr>
        <w:t xml:space="preserve">, получившей статус провинции. Возникновение в ОЭЗ большого количества предприятий с чисто китайским, иностранным и смешанным капиталом (гонконгским, тайваньским и др.), развивающихся по рыночным законам, способствовало формированию в этих районах страны локальных рынков рабочей силы. </w:t>
      </w:r>
      <w:r w:rsidR="001E56D9">
        <w:rPr>
          <w:rFonts w:ascii="Times New Roman" w:hAnsi="Times New Roman"/>
          <w:sz w:val="28"/>
          <w:szCs w:val="28"/>
        </w:rPr>
        <w:t>Специфический статус О</w:t>
      </w:r>
      <w:r w:rsidRPr="00894205">
        <w:rPr>
          <w:rFonts w:ascii="Times New Roman" w:hAnsi="Times New Roman"/>
          <w:sz w:val="28"/>
          <w:szCs w:val="28"/>
        </w:rPr>
        <w:t>ЭЗ КНР позволил им добиться значительных успехов на фоне внутренних районов Китая. В зонах гораздо быстрее, чем в среднем по стране, растет занятость населения, уровень жизни и квалификация рабочих и служащих. Зоны явились уникальной по масштабам школой современного управления экономикой</w:t>
      </w:r>
      <w:r w:rsidR="001E56D9">
        <w:rPr>
          <w:rStyle w:val="aa"/>
          <w:rFonts w:ascii="Times New Roman" w:hAnsi="Times New Roman"/>
          <w:sz w:val="28"/>
          <w:szCs w:val="28"/>
        </w:rPr>
        <w:footnoteReference w:id="14"/>
      </w:r>
      <w:r w:rsidRPr="00894205">
        <w:rPr>
          <w:rFonts w:ascii="Times New Roman" w:hAnsi="Times New Roman"/>
          <w:sz w:val="28"/>
          <w:szCs w:val="28"/>
        </w:rPr>
        <w:t>.</w:t>
      </w:r>
    </w:p>
    <w:p w:rsidR="003A4AE0" w:rsidRDefault="001E56D9" w:rsidP="008942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базой для развития ОЭЗ служи</w:t>
      </w:r>
      <w:r w:rsidR="00124A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закон от 22.07.2005 №116-ФЗ «Об особых экономических зонах в Российской Федерации», </w:t>
      </w:r>
      <w:r w:rsidR="00FD7F4A">
        <w:rPr>
          <w:rFonts w:ascii="Times New Roman" w:hAnsi="Times New Roman"/>
          <w:sz w:val="28"/>
          <w:szCs w:val="28"/>
        </w:rPr>
        <w:t xml:space="preserve">статьей 2 </w:t>
      </w:r>
      <w:r>
        <w:rPr>
          <w:rFonts w:ascii="Times New Roman" w:hAnsi="Times New Roman"/>
          <w:sz w:val="28"/>
          <w:szCs w:val="28"/>
        </w:rPr>
        <w:t>котор</w:t>
      </w:r>
      <w:r w:rsidR="00FD7F4A">
        <w:rPr>
          <w:rFonts w:ascii="Times New Roman" w:hAnsi="Times New Roman"/>
          <w:sz w:val="28"/>
          <w:szCs w:val="28"/>
        </w:rPr>
        <w:t xml:space="preserve">ого определено, что </w:t>
      </w:r>
      <w:r>
        <w:rPr>
          <w:rFonts w:ascii="Times New Roman" w:hAnsi="Times New Roman"/>
          <w:sz w:val="28"/>
          <w:szCs w:val="28"/>
        </w:rPr>
        <w:t>ОЭЗ</w:t>
      </w:r>
      <w:r w:rsidR="00FD7F4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FD7F4A">
        <w:rPr>
          <w:rFonts w:ascii="Times New Roman" w:hAnsi="Times New Roman"/>
          <w:sz w:val="28"/>
          <w:szCs w:val="28"/>
        </w:rPr>
        <w:t xml:space="preserve">определяемая Правительством РФ </w:t>
      </w:r>
      <w:r>
        <w:rPr>
          <w:rFonts w:ascii="Times New Roman" w:hAnsi="Times New Roman"/>
          <w:sz w:val="28"/>
          <w:szCs w:val="28"/>
        </w:rPr>
        <w:t>часть территории Российской Федерации, на которой действует особый режим осуществления предпринимательской деятельности</w:t>
      </w:r>
      <w:r w:rsidR="00FD7F4A">
        <w:rPr>
          <w:rFonts w:ascii="Times New Roman" w:hAnsi="Times New Roman"/>
          <w:sz w:val="28"/>
          <w:szCs w:val="28"/>
        </w:rPr>
        <w:t xml:space="preserve">. </w:t>
      </w:r>
      <w:r w:rsidR="003A4AE0">
        <w:rPr>
          <w:rFonts w:ascii="Times New Roman" w:hAnsi="Times New Roman"/>
          <w:sz w:val="28"/>
          <w:szCs w:val="28"/>
        </w:rPr>
        <w:t xml:space="preserve">В соответствии с этим Законом ОСЗ на территории России создаются в целях развития обрабатывающих отраслей экономики, высокотехнологичных отраслей, производства новых видов продукции, транспортной инфраструктуры, а также туризма и санаторно-курортной сферы. </w:t>
      </w:r>
    </w:p>
    <w:p w:rsidR="001E56D9" w:rsidRDefault="006C1519" w:rsidP="008942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Ранее г</w:t>
      </w:r>
      <w:r w:rsidR="001E56D9">
        <w:rPr>
          <w:rFonts w:ascii="Times New Roman" w:hAnsi="Times New Roman"/>
          <w:sz w:val="28"/>
          <w:szCs w:val="28"/>
        </w:rPr>
        <w:t>осударственная политика в области ОЭЗ реализ</w:t>
      </w:r>
      <w:r w:rsidR="00124ACF">
        <w:rPr>
          <w:rFonts w:ascii="Times New Roman" w:hAnsi="Times New Roman"/>
          <w:sz w:val="28"/>
          <w:szCs w:val="28"/>
        </w:rPr>
        <w:t>овывалась</w:t>
      </w:r>
      <w:r w:rsidR="001E56D9">
        <w:rPr>
          <w:rFonts w:ascii="Times New Roman" w:hAnsi="Times New Roman"/>
          <w:sz w:val="28"/>
          <w:szCs w:val="28"/>
        </w:rPr>
        <w:t xml:space="preserve"> специально созданным Федеральным агентством по управлению особыми экономическими зонами (</w:t>
      </w:r>
      <w:proofErr w:type="spellStart"/>
      <w:r w:rsidR="001E56D9">
        <w:rPr>
          <w:rFonts w:ascii="Times New Roman" w:hAnsi="Times New Roman"/>
          <w:sz w:val="28"/>
          <w:szCs w:val="28"/>
        </w:rPr>
        <w:t>РосОЭЗ</w:t>
      </w:r>
      <w:proofErr w:type="spellEnd"/>
      <w:r w:rsidR="001E56D9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Однако 05.10.</w:t>
      </w:r>
      <w:r w:rsidR="007E35B1" w:rsidRPr="007E35B1">
        <w:rPr>
          <w:rFonts w:ascii="Times New Roman" w:hAnsi="Times New Roman"/>
          <w:sz w:val="28"/>
          <w:szCs w:val="28"/>
        </w:rPr>
        <w:t xml:space="preserve">2009 года Указом Президента Российской Федерации №1107 </w:t>
      </w:r>
      <w:r>
        <w:rPr>
          <w:rFonts w:ascii="Times New Roman" w:hAnsi="Times New Roman"/>
          <w:sz w:val="28"/>
          <w:szCs w:val="28"/>
        </w:rPr>
        <w:t xml:space="preserve">это агентство </w:t>
      </w:r>
      <w:r w:rsidR="001E56D9" w:rsidRPr="001E56D9">
        <w:rPr>
          <w:rFonts w:ascii="Times New Roman" w:hAnsi="Times New Roman"/>
          <w:sz w:val="28"/>
          <w:szCs w:val="28"/>
        </w:rPr>
        <w:t>вместе с е</w:t>
      </w:r>
      <w:r w:rsidR="007E35B1">
        <w:rPr>
          <w:rFonts w:ascii="Times New Roman" w:hAnsi="Times New Roman"/>
          <w:sz w:val="28"/>
          <w:szCs w:val="28"/>
        </w:rPr>
        <w:t>го территориальным управлениями</w:t>
      </w:r>
      <w:r>
        <w:rPr>
          <w:rFonts w:ascii="Times New Roman" w:hAnsi="Times New Roman"/>
          <w:sz w:val="28"/>
          <w:szCs w:val="28"/>
        </w:rPr>
        <w:t xml:space="preserve"> было упразднено. </w:t>
      </w:r>
      <w:r w:rsidR="007E35B1">
        <w:rPr>
          <w:rFonts w:ascii="Times New Roman" w:hAnsi="Times New Roman"/>
          <w:sz w:val="28"/>
          <w:szCs w:val="28"/>
        </w:rPr>
        <w:t>П</w:t>
      </w:r>
      <w:r w:rsidR="007E35B1" w:rsidRPr="007E35B1">
        <w:rPr>
          <w:rFonts w:ascii="Times New Roman" w:hAnsi="Times New Roman"/>
          <w:sz w:val="28"/>
          <w:szCs w:val="28"/>
        </w:rPr>
        <w:t>ринято решение о переходе к двухуровневой системе управления особыми экономическими зонами с перераспределением полномочий между Министерством экономического развития Российской Федерации, ОАО «Особые экономические зоны» и регионами</w:t>
      </w:r>
      <w:r w:rsidR="00A51385">
        <w:rPr>
          <w:rStyle w:val="aa"/>
          <w:rFonts w:ascii="Times New Roman" w:hAnsi="Times New Roman"/>
          <w:sz w:val="28"/>
          <w:szCs w:val="28"/>
        </w:rPr>
        <w:footnoteReference w:id="15"/>
      </w:r>
      <w:r w:rsidR="007E35B1" w:rsidRPr="007E35B1">
        <w:rPr>
          <w:rFonts w:ascii="Times New Roman" w:hAnsi="Times New Roman"/>
          <w:sz w:val="28"/>
          <w:szCs w:val="28"/>
        </w:rPr>
        <w:t>.</w:t>
      </w:r>
      <w:r w:rsidR="00EC5550">
        <w:rPr>
          <w:rFonts w:ascii="Times New Roman" w:hAnsi="Times New Roman"/>
          <w:sz w:val="28"/>
          <w:szCs w:val="28"/>
        </w:rPr>
        <w:t xml:space="preserve"> Примерами успешной реализации проектов ОЭЗ в России служат </w:t>
      </w:r>
      <w:r w:rsidR="00EC5550" w:rsidRPr="00EC5550">
        <w:rPr>
          <w:rFonts w:ascii="Times New Roman" w:hAnsi="Times New Roman"/>
          <w:sz w:val="28"/>
          <w:szCs w:val="28"/>
        </w:rPr>
        <w:t>Промышленно-производственные ОЭЗ</w:t>
      </w:r>
      <w:r w:rsidR="00EC5550">
        <w:rPr>
          <w:rFonts w:ascii="Times New Roman" w:hAnsi="Times New Roman"/>
          <w:sz w:val="28"/>
          <w:szCs w:val="28"/>
        </w:rPr>
        <w:t xml:space="preserve"> в Липецкой области</w:t>
      </w:r>
      <w:r w:rsidR="00EC5550" w:rsidRPr="00EC5550">
        <w:rPr>
          <w:rFonts w:ascii="Times New Roman" w:hAnsi="Times New Roman"/>
          <w:sz w:val="28"/>
          <w:szCs w:val="28"/>
        </w:rPr>
        <w:t xml:space="preserve"> «Липецк»</w:t>
      </w:r>
      <w:r w:rsidR="00EC5550">
        <w:rPr>
          <w:rFonts w:ascii="Times New Roman" w:hAnsi="Times New Roman"/>
          <w:sz w:val="28"/>
          <w:szCs w:val="28"/>
        </w:rPr>
        <w:t xml:space="preserve"> и в Республике Татарстан</w:t>
      </w:r>
      <w:r w:rsidR="00EC5550" w:rsidRPr="00EC555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C5550" w:rsidRPr="00EC5550">
        <w:rPr>
          <w:rFonts w:ascii="Times New Roman" w:hAnsi="Times New Roman"/>
          <w:sz w:val="28"/>
          <w:szCs w:val="28"/>
        </w:rPr>
        <w:t>Алабуга</w:t>
      </w:r>
      <w:proofErr w:type="spellEnd"/>
      <w:r w:rsidR="00EC5550" w:rsidRPr="00EC5550">
        <w:rPr>
          <w:rFonts w:ascii="Times New Roman" w:hAnsi="Times New Roman"/>
          <w:sz w:val="28"/>
          <w:szCs w:val="28"/>
        </w:rPr>
        <w:t>»</w:t>
      </w:r>
      <w:r w:rsidR="00EC5550">
        <w:rPr>
          <w:rFonts w:ascii="Times New Roman" w:hAnsi="Times New Roman"/>
          <w:sz w:val="28"/>
          <w:szCs w:val="28"/>
        </w:rPr>
        <w:t>.</w:t>
      </w:r>
    </w:p>
    <w:p w:rsidR="00A876FE" w:rsidRDefault="00820FBA" w:rsidP="00A876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Наконец, еще одной формой является к</w:t>
      </w:r>
      <w:r w:rsidR="00A876FE">
        <w:rPr>
          <w:rFonts w:ascii="Times New Roman" w:hAnsi="Times New Roman"/>
          <w:sz w:val="28"/>
          <w:szCs w:val="28"/>
        </w:rPr>
        <w:t xml:space="preserve">онцессия </w:t>
      </w:r>
      <w:r>
        <w:rPr>
          <w:rFonts w:ascii="Times New Roman" w:hAnsi="Times New Roman"/>
          <w:sz w:val="28"/>
          <w:szCs w:val="28"/>
        </w:rPr>
        <w:t>-</w:t>
      </w:r>
      <w:r w:rsidR="00A876FE">
        <w:rPr>
          <w:rFonts w:ascii="Times New Roman" w:hAnsi="Times New Roman"/>
          <w:sz w:val="28"/>
          <w:szCs w:val="28"/>
        </w:rPr>
        <w:t xml:space="preserve"> договор между государством и частным бизнесом (инвестором), устанавливающий условия использования государственной собственности. </w:t>
      </w:r>
      <w:proofErr w:type="gramStart"/>
      <w:r w:rsidR="00A876FE">
        <w:rPr>
          <w:rFonts w:ascii="Times New Roman" w:hAnsi="Times New Roman"/>
          <w:sz w:val="28"/>
          <w:szCs w:val="28"/>
        </w:rPr>
        <w:t>Согласно определению Европейской комиссии</w:t>
      </w:r>
      <w:r>
        <w:rPr>
          <w:rFonts w:ascii="Times New Roman" w:hAnsi="Times New Roman"/>
          <w:sz w:val="28"/>
          <w:szCs w:val="28"/>
        </w:rPr>
        <w:t>,</w:t>
      </w:r>
      <w:r w:rsidR="00A876FE">
        <w:rPr>
          <w:rFonts w:ascii="Times New Roman" w:hAnsi="Times New Roman"/>
          <w:sz w:val="28"/>
          <w:szCs w:val="28"/>
        </w:rPr>
        <w:t xml:space="preserve"> концессия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A876FE">
        <w:rPr>
          <w:rFonts w:ascii="Times New Roman" w:hAnsi="Times New Roman"/>
          <w:sz w:val="28"/>
          <w:szCs w:val="28"/>
        </w:rPr>
        <w:t xml:space="preserve"> это акт, причисляемый к государственным, которым государственная власть доверяет третьему лицу, будь то путем соглашения или путем одностороннего акта с получением согласия третьего лица, полное или частичное управление </w:t>
      </w:r>
      <w:r w:rsidR="00CD0C5A">
        <w:rPr>
          <w:rFonts w:ascii="Times New Roman" w:hAnsi="Times New Roman"/>
          <w:sz w:val="28"/>
          <w:szCs w:val="28"/>
        </w:rPr>
        <w:t>обслуживанием, которое обычно относится к ее компетенции и за которое третье лицо несет эксплуатационные риски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876FE" w:rsidRDefault="0043259C" w:rsidP="00A876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концессии все имущественные права сохраняются за государством. Условием концессии является осуществление инвестором (концессионером) инвестиций с последующей передачей их в государственную собственность. Расходы инвесторов (инвестиции и текущие) подлежат компенсации за счет эксплуатации по заранее определенным в концессионном договоре расценкам и тарифам. Концессии наиболее распространены в инфраструктурных отраслях, где сочетаются </w:t>
      </w:r>
      <w:r>
        <w:rPr>
          <w:rFonts w:ascii="Times New Roman" w:hAnsi="Times New Roman"/>
          <w:sz w:val="28"/>
          <w:szCs w:val="28"/>
        </w:rPr>
        <w:lastRenderedPageBreak/>
        <w:t xml:space="preserve">потребность в значительных инвестициях и необходимость профессионального управления сложными технологическими системами. </w:t>
      </w:r>
    </w:p>
    <w:p w:rsidR="0043259C" w:rsidRDefault="0043259C" w:rsidP="00A876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мировой практике концессии распространены весьма широко. По схеме концессионного соглашения был реализован проект строительства и эксплуатации </w:t>
      </w:r>
      <w:proofErr w:type="spellStart"/>
      <w:r>
        <w:rPr>
          <w:rFonts w:ascii="Times New Roman" w:hAnsi="Times New Roman"/>
          <w:sz w:val="28"/>
          <w:szCs w:val="28"/>
        </w:rPr>
        <w:t>Евротоннеля</w:t>
      </w:r>
      <w:proofErr w:type="spellEnd"/>
      <w:r>
        <w:rPr>
          <w:rFonts w:ascii="Times New Roman" w:hAnsi="Times New Roman"/>
          <w:sz w:val="28"/>
          <w:szCs w:val="28"/>
        </w:rPr>
        <w:t>, связывающего Франции и Великобританию. По ряду оценок, до 70% по количеству и стоимости в структуре ГЧП занимают концессии.</w:t>
      </w:r>
      <w:r w:rsidR="00820FBA">
        <w:rPr>
          <w:rStyle w:val="aa"/>
          <w:rFonts w:ascii="Times New Roman" w:hAnsi="Times New Roman"/>
          <w:sz w:val="28"/>
          <w:szCs w:val="28"/>
        </w:rPr>
        <w:footnoteReference w:id="16"/>
      </w:r>
      <w:r w:rsidR="006C07F5">
        <w:rPr>
          <w:rFonts w:ascii="Times New Roman" w:hAnsi="Times New Roman"/>
          <w:sz w:val="28"/>
          <w:szCs w:val="28"/>
        </w:rPr>
        <w:t xml:space="preserve"> </w:t>
      </w:r>
    </w:p>
    <w:p w:rsidR="00195DB4" w:rsidRDefault="00195DB4" w:rsidP="00195D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Концессии признаются наиболее эффективной формой ГЧП в сфере инфраструктуры связи. Однако в России существует ряд проблем, связанных с развитием концессионных соглашений. Они обусловлены отсутствием административного регулирования взаимоотношений концессионера и потребителей для установления гарантий и контроля за исполнением концессионером обязательств; согласования механизма тарифного регулирования с контрактными требованиями; порядка подготовки концессионного соглашения; механизмов, обеспечивающих прозрачность процедур и при выборе </w:t>
      </w:r>
      <w:proofErr w:type="spellStart"/>
      <w:r>
        <w:rPr>
          <w:rFonts w:ascii="Times New Roman" w:hAnsi="Times New Roman"/>
          <w:sz w:val="28"/>
          <w:szCs w:val="28"/>
        </w:rPr>
        <w:t>концедента</w:t>
      </w:r>
      <w:proofErr w:type="spellEnd"/>
      <w:r>
        <w:rPr>
          <w:rStyle w:val="aa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95DB4" w:rsidRPr="000A5FD0" w:rsidRDefault="00195DB4" w:rsidP="00195DB4">
      <w:pPr>
        <w:spacing w:after="0" w:line="312" w:lineRule="auto"/>
        <w:ind w:firstLine="54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FD0">
        <w:rPr>
          <w:rFonts w:ascii="Times New Roman" w:hAnsi="Times New Roman"/>
          <w:sz w:val="28"/>
          <w:szCs w:val="28"/>
        </w:rPr>
        <w:t xml:space="preserve">Государственно-частное </w:t>
      </w:r>
      <w:r>
        <w:rPr>
          <w:rFonts w:ascii="Times New Roman" w:hAnsi="Times New Roman"/>
          <w:sz w:val="28"/>
          <w:szCs w:val="28"/>
        </w:rPr>
        <w:t>и</w:t>
      </w:r>
      <w:r w:rsidRPr="000A5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FD0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A5FD0">
        <w:rPr>
          <w:rFonts w:ascii="Times New Roman" w:hAnsi="Times New Roman"/>
          <w:sz w:val="28"/>
          <w:szCs w:val="28"/>
        </w:rPr>
        <w:t>-частное партнерство в Российской Федерации основаны на следующих принципах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A5FD0">
        <w:rPr>
          <w:rFonts w:ascii="Times New Roman" w:hAnsi="Times New Roman"/>
          <w:sz w:val="28"/>
          <w:szCs w:val="28"/>
        </w:rPr>
        <w:t xml:space="preserve">Статья 4, Федеральный закон от 13.07.2015 N 224-ФЗ (ред. от 03.07.2016) "О государственно-частном партнерстве, </w:t>
      </w:r>
      <w:proofErr w:type="spellStart"/>
      <w:r w:rsidRPr="000A5FD0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A5FD0">
        <w:rPr>
          <w:rFonts w:ascii="Times New Roman" w:hAnsi="Times New Roman"/>
          <w:sz w:val="28"/>
          <w:szCs w:val="28"/>
        </w:rPr>
        <w:t>-частном партнерстве в Российской Федерации):</w:t>
      </w:r>
      <w:proofErr w:type="gramEnd"/>
    </w:p>
    <w:p w:rsidR="00195DB4" w:rsidRDefault="00195DB4" w:rsidP="00195DB4">
      <w:pPr>
        <w:pStyle w:val="a3"/>
        <w:numPr>
          <w:ilvl w:val="1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A5FD0">
        <w:rPr>
          <w:rFonts w:ascii="Times New Roman" w:hAnsi="Times New Roman"/>
          <w:sz w:val="28"/>
          <w:szCs w:val="28"/>
        </w:rPr>
        <w:t xml:space="preserve">открытость и доступность информации о государственно-частном партнерстве, </w:t>
      </w:r>
      <w:proofErr w:type="spellStart"/>
      <w:r w:rsidRPr="000A5FD0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A5FD0">
        <w:rPr>
          <w:rFonts w:ascii="Times New Roman" w:hAnsi="Times New Roman"/>
          <w:sz w:val="28"/>
          <w:szCs w:val="28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195DB4" w:rsidRPr="000A5FD0" w:rsidRDefault="00195DB4" w:rsidP="00195DB4">
      <w:pPr>
        <w:pStyle w:val="a3"/>
        <w:numPr>
          <w:ilvl w:val="1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A5FD0">
        <w:rPr>
          <w:rFonts w:ascii="Times New Roman" w:hAnsi="Times New Roman"/>
          <w:sz w:val="28"/>
          <w:szCs w:val="28"/>
        </w:rPr>
        <w:t>обеспечение конкуренции;</w:t>
      </w:r>
    </w:p>
    <w:p w:rsidR="00195DB4" w:rsidRPr="000A5FD0" w:rsidRDefault="00195DB4" w:rsidP="00195DB4">
      <w:pPr>
        <w:pStyle w:val="a3"/>
        <w:numPr>
          <w:ilvl w:val="1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A5FD0">
        <w:rPr>
          <w:rFonts w:ascii="Times New Roman" w:hAnsi="Times New Roman"/>
          <w:sz w:val="28"/>
          <w:szCs w:val="28"/>
        </w:rPr>
        <w:t>отсутствие дискриминации, равноправие сторон соглашения и равенство их перед законом;</w:t>
      </w:r>
    </w:p>
    <w:p w:rsidR="00195DB4" w:rsidRPr="000A5FD0" w:rsidRDefault="00195DB4" w:rsidP="00195DB4">
      <w:pPr>
        <w:pStyle w:val="a3"/>
        <w:numPr>
          <w:ilvl w:val="1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A5FD0">
        <w:rPr>
          <w:rFonts w:ascii="Times New Roman" w:hAnsi="Times New Roman"/>
          <w:sz w:val="28"/>
          <w:szCs w:val="28"/>
        </w:rPr>
        <w:lastRenderedPageBreak/>
        <w:t>добросовестное исполнение сторонами соглашения обязательств по соглашению;</w:t>
      </w:r>
    </w:p>
    <w:p w:rsidR="00195DB4" w:rsidRPr="000A5FD0" w:rsidRDefault="00195DB4" w:rsidP="00195DB4">
      <w:pPr>
        <w:pStyle w:val="a3"/>
        <w:numPr>
          <w:ilvl w:val="1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A5FD0">
        <w:rPr>
          <w:rFonts w:ascii="Times New Roman" w:hAnsi="Times New Roman"/>
          <w:sz w:val="28"/>
          <w:szCs w:val="28"/>
        </w:rPr>
        <w:t>справедливое распределение рисков и обязательств между сторонами соглашения;</w:t>
      </w:r>
    </w:p>
    <w:p w:rsidR="00195DB4" w:rsidRPr="000A5FD0" w:rsidRDefault="00195DB4" w:rsidP="00195DB4">
      <w:pPr>
        <w:pStyle w:val="a3"/>
        <w:numPr>
          <w:ilvl w:val="1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A5FD0">
        <w:rPr>
          <w:rFonts w:ascii="Times New Roman" w:hAnsi="Times New Roman"/>
          <w:sz w:val="28"/>
          <w:szCs w:val="28"/>
        </w:rPr>
        <w:t>свобода заключения соглашения.</w:t>
      </w:r>
    </w:p>
    <w:p w:rsidR="006C07F5" w:rsidRDefault="006C07F5" w:rsidP="00195DB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07F5">
        <w:rPr>
          <w:rFonts w:ascii="Times New Roman" w:hAnsi="Times New Roman"/>
          <w:sz w:val="28"/>
          <w:szCs w:val="28"/>
        </w:rPr>
        <w:t>Федеральный закон Российской Федерации от 2</w:t>
      </w:r>
      <w:r>
        <w:rPr>
          <w:rFonts w:ascii="Times New Roman" w:hAnsi="Times New Roman"/>
          <w:sz w:val="28"/>
          <w:szCs w:val="28"/>
        </w:rPr>
        <w:t>.06.</w:t>
      </w:r>
      <w:r w:rsidRPr="006C07F5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>№</w:t>
      </w:r>
      <w:r w:rsidRPr="006C07F5">
        <w:rPr>
          <w:rFonts w:ascii="Times New Roman" w:hAnsi="Times New Roman"/>
          <w:sz w:val="28"/>
          <w:szCs w:val="28"/>
        </w:rPr>
        <w:t xml:space="preserve">152-ФЗ </w:t>
      </w:r>
      <w:r>
        <w:rPr>
          <w:rFonts w:ascii="Times New Roman" w:hAnsi="Times New Roman"/>
          <w:sz w:val="28"/>
          <w:szCs w:val="28"/>
        </w:rPr>
        <w:t>«</w:t>
      </w:r>
      <w:r w:rsidRPr="006C07F5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«О концессионных соглашениях»</w:t>
      </w:r>
      <w:r w:rsidRPr="006C07F5">
        <w:rPr>
          <w:rFonts w:ascii="Times New Roman" w:hAnsi="Times New Roman"/>
          <w:sz w:val="28"/>
          <w:szCs w:val="28"/>
        </w:rPr>
        <w:t xml:space="preserve"> и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 внес значительные изменения в текст закона, включая регулирование расценок и тарифов, возможности заключения концессионных соглашений без проведения конкурсов. В предыдущих поправках к закону был расширен перечень инфраструктурных объектов – предметов концессионного соглашения, введены штрафные санкции за неисполнение условий концессионного соглашения.</w:t>
      </w:r>
      <w:r w:rsidR="006E0E02" w:rsidRPr="006E0E02">
        <w:rPr>
          <w:rFonts w:ascii="Times New Roman" w:hAnsi="Times New Roman"/>
          <w:sz w:val="28"/>
          <w:szCs w:val="28"/>
        </w:rPr>
        <w:t xml:space="preserve"> </w:t>
      </w:r>
      <w:r w:rsidR="006E0E02">
        <w:rPr>
          <w:rFonts w:ascii="Times New Roman" w:hAnsi="Times New Roman"/>
          <w:sz w:val="28"/>
          <w:szCs w:val="28"/>
        </w:rPr>
        <w:t>Одно и</w:t>
      </w:r>
      <w:r w:rsidR="006E0E02" w:rsidRPr="006E0E02">
        <w:rPr>
          <w:rFonts w:ascii="Times New Roman" w:hAnsi="Times New Roman"/>
          <w:sz w:val="28"/>
          <w:szCs w:val="28"/>
        </w:rPr>
        <w:t xml:space="preserve">з </w:t>
      </w:r>
      <w:r w:rsidR="006E0E02">
        <w:rPr>
          <w:rFonts w:ascii="Times New Roman" w:hAnsi="Times New Roman"/>
          <w:sz w:val="28"/>
          <w:szCs w:val="28"/>
        </w:rPr>
        <w:t xml:space="preserve">существенных </w:t>
      </w:r>
      <w:r w:rsidR="006E0E02" w:rsidRPr="006E0E02">
        <w:rPr>
          <w:rFonts w:ascii="Times New Roman" w:hAnsi="Times New Roman"/>
          <w:sz w:val="28"/>
          <w:szCs w:val="28"/>
        </w:rPr>
        <w:t>нововведений - обязательства концессионеров перед кредиторами, в которых оговаривается деятельность на стадии проектирования и прекращения самого концессионного предложения.</w:t>
      </w:r>
    </w:p>
    <w:p w:rsidR="00195DB4" w:rsidRDefault="00195DB4" w:rsidP="00607BD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53D4" w:rsidRPr="007E7A35" w:rsidRDefault="00607BDC" w:rsidP="00607BD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A35">
        <w:rPr>
          <w:rFonts w:ascii="Times New Roman" w:hAnsi="Times New Roman"/>
          <w:b/>
          <w:sz w:val="28"/>
          <w:szCs w:val="28"/>
        </w:rPr>
        <w:t>П</w:t>
      </w:r>
      <w:r w:rsidR="00DD53D4" w:rsidRPr="007E7A35">
        <w:rPr>
          <w:rFonts w:ascii="Times New Roman" w:hAnsi="Times New Roman"/>
          <w:b/>
          <w:sz w:val="28"/>
          <w:szCs w:val="28"/>
        </w:rPr>
        <w:t>рактические аспекты становления и развития государственно-частного партнерства</w:t>
      </w:r>
      <w:r w:rsidR="00DD53D4" w:rsidRPr="007E7A35">
        <w:rPr>
          <w:rFonts w:ascii="Times New Roman" w:hAnsi="Times New Roman"/>
          <w:b/>
          <w:sz w:val="28"/>
          <w:szCs w:val="28"/>
        </w:rPr>
        <w:tab/>
      </w:r>
    </w:p>
    <w:p w:rsidR="00B5121B" w:rsidRPr="007E7A35" w:rsidRDefault="00D604D9" w:rsidP="00D604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Началу жизненного цикла проекта ГЧП предшествует значительная работа</w:t>
      </w:r>
      <w:r w:rsidR="00B21BFE" w:rsidRPr="007E7A35">
        <w:rPr>
          <w:rFonts w:ascii="Times New Roman" w:hAnsi="Times New Roman"/>
          <w:sz w:val="28"/>
          <w:szCs w:val="28"/>
        </w:rPr>
        <w:t>. П</w:t>
      </w:r>
      <w:r w:rsidRPr="007E7A35">
        <w:rPr>
          <w:rFonts w:ascii="Times New Roman" w:hAnsi="Times New Roman"/>
          <w:sz w:val="28"/>
          <w:szCs w:val="28"/>
        </w:rPr>
        <w:t>режде всего, должна быть подготовлена адекватная инс</w:t>
      </w:r>
      <w:r w:rsidR="00B21BFE" w:rsidRPr="007E7A35">
        <w:rPr>
          <w:rFonts w:ascii="Times New Roman" w:hAnsi="Times New Roman"/>
          <w:sz w:val="28"/>
          <w:szCs w:val="28"/>
        </w:rPr>
        <w:t>ти</w:t>
      </w:r>
      <w:r w:rsidRPr="007E7A35">
        <w:rPr>
          <w:rFonts w:ascii="Times New Roman" w:hAnsi="Times New Roman"/>
          <w:sz w:val="28"/>
          <w:szCs w:val="28"/>
        </w:rPr>
        <w:t xml:space="preserve">туциональная среда, благоприятная для осуществления проектов ГЧП. Кроме наличия нормативной и законодательной базы (о чем сказано </w:t>
      </w:r>
      <w:r w:rsidR="00B21BFE" w:rsidRPr="007E7A35">
        <w:rPr>
          <w:rFonts w:ascii="Times New Roman" w:hAnsi="Times New Roman"/>
          <w:sz w:val="28"/>
          <w:szCs w:val="28"/>
        </w:rPr>
        <w:t>раньше</w:t>
      </w:r>
      <w:r w:rsidRPr="007E7A35">
        <w:rPr>
          <w:rFonts w:ascii="Times New Roman" w:hAnsi="Times New Roman"/>
          <w:sz w:val="28"/>
          <w:szCs w:val="28"/>
        </w:rPr>
        <w:t xml:space="preserve">), практика реализации </w:t>
      </w:r>
      <w:r w:rsidR="00B21BFE" w:rsidRPr="007E7A35">
        <w:rPr>
          <w:rFonts w:ascii="Times New Roman" w:hAnsi="Times New Roman"/>
          <w:sz w:val="28"/>
          <w:szCs w:val="28"/>
        </w:rPr>
        <w:t xml:space="preserve">проектов </w:t>
      </w:r>
      <w:r w:rsidRPr="007E7A35">
        <w:rPr>
          <w:rFonts w:ascii="Times New Roman" w:hAnsi="Times New Roman"/>
          <w:sz w:val="28"/>
          <w:szCs w:val="28"/>
        </w:rPr>
        <w:t xml:space="preserve">ГЧП в России и за рубежом показала результативность наличия действующего органа или структуры, определяющего стратегию в сфере ГЧП и осуществляющей практические действия в части реализации конкретных проектов. Такие структуры могут быть как на общегосударственном уровне, здесь характерен пример упраздненного Федерального агентства по управлению особыми </w:t>
      </w:r>
      <w:r w:rsidRPr="007E7A35">
        <w:rPr>
          <w:rFonts w:ascii="Times New Roman" w:hAnsi="Times New Roman"/>
          <w:sz w:val="28"/>
          <w:szCs w:val="28"/>
        </w:rPr>
        <w:lastRenderedPageBreak/>
        <w:t xml:space="preserve">экономическими зонами, так и на отраслевом уровне. </w:t>
      </w:r>
      <w:r w:rsidR="00B5121B" w:rsidRPr="007E7A35">
        <w:rPr>
          <w:rFonts w:ascii="Times New Roman" w:hAnsi="Times New Roman"/>
          <w:sz w:val="28"/>
          <w:szCs w:val="28"/>
        </w:rPr>
        <w:t>Т.е. необходимо создание (или наделение необходимыми полномочиями действующей структуры) специализированного органа по реализации проектов ГЧП.</w:t>
      </w:r>
    </w:p>
    <w:p w:rsidR="00DD53D4" w:rsidRPr="007E7A35" w:rsidRDefault="00941BA1" w:rsidP="00D604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Уместно выделить следующие этапы создания и развития ГЧП проектов:</w:t>
      </w:r>
    </w:p>
    <w:p w:rsidR="00941BA1" w:rsidRPr="007E7A35" w:rsidRDefault="00B21BFE" w:rsidP="00941BA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п</w:t>
      </w:r>
      <w:r w:rsidR="00941BA1" w:rsidRPr="007E7A35">
        <w:rPr>
          <w:rFonts w:ascii="Times New Roman" w:hAnsi="Times New Roman"/>
          <w:sz w:val="28"/>
          <w:szCs w:val="28"/>
        </w:rPr>
        <w:t>одготовительный этап</w:t>
      </w:r>
      <w:r w:rsidRPr="007E7A35">
        <w:rPr>
          <w:rFonts w:ascii="Times New Roman" w:hAnsi="Times New Roman"/>
          <w:sz w:val="28"/>
          <w:szCs w:val="28"/>
        </w:rPr>
        <w:t>;</w:t>
      </w:r>
    </w:p>
    <w:p w:rsidR="00941BA1" w:rsidRPr="007E7A35" w:rsidRDefault="00B21BFE" w:rsidP="00941BA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э</w:t>
      </w:r>
      <w:r w:rsidR="003A1A05" w:rsidRPr="007E7A35">
        <w:rPr>
          <w:rFonts w:ascii="Times New Roman" w:hAnsi="Times New Roman"/>
          <w:sz w:val="28"/>
          <w:szCs w:val="28"/>
        </w:rPr>
        <w:t>тап планирования проектов</w:t>
      </w:r>
      <w:r w:rsidRPr="007E7A35">
        <w:rPr>
          <w:rFonts w:ascii="Times New Roman" w:hAnsi="Times New Roman"/>
          <w:sz w:val="28"/>
          <w:szCs w:val="28"/>
        </w:rPr>
        <w:t>;</w:t>
      </w:r>
    </w:p>
    <w:p w:rsidR="00941BA1" w:rsidRPr="007E7A35" w:rsidRDefault="00B21BFE" w:rsidP="00941BA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э</w:t>
      </w:r>
      <w:r w:rsidR="00941BA1" w:rsidRPr="007E7A35">
        <w:rPr>
          <w:rFonts w:ascii="Times New Roman" w:hAnsi="Times New Roman"/>
          <w:sz w:val="28"/>
          <w:szCs w:val="28"/>
        </w:rPr>
        <w:t>тап формализации сделки</w:t>
      </w:r>
      <w:r w:rsidRPr="007E7A35">
        <w:rPr>
          <w:rFonts w:ascii="Times New Roman" w:hAnsi="Times New Roman"/>
          <w:sz w:val="28"/>
          <w:szCs w:val="28"/>
        </w:rPr>
        <w:t>;</w:t>
      </w:r>
    </w:p>
    <w:p w:rsidR="00941BA1" w:rsidRPr="007E7A35" w:rsidRDefault="00B21BFE" w:rsidP="00941BA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э</w:t>
      </w:r>
      <w:r w:rsidR="00941BA1" w:rsidRPr="007E7A35">
        <w:rPr>
          <w:rFonts w:ascii="Times New Roman" w:hAnsi="Times New Roman"/>
          <w:sz w:val="28"/>
          <w:szCs w:val="28"/>
        </w:rPr>
        <w:t>тап реализации проекта</w:t>
      </w:r>
    </w:p>
    <w:p w:rsidR="00941BA1" w:rsidRPr="007E7A35" w:rsidRDefault="00B21BFE" w:rsidP="00941BA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э</w:t>
      </w:r>
      <w:r w:rsidR="00941BA1" w:rsidRPr="007E7A35">
        <w:rPr>
          <w:rFonts w:ascii="Times New Roman" w:hAnsi="Times New Roman"/>
          <w:sz w:val="28"/>
          <w:szCs w:val="28"/>
        </w:rPr>
        <w:t>тап выхода из проекта.</w:t>
      </w:r>
    </w:p>
    <w:p w:rsidR="00941BA1" w:rsidRPr="007E7A35" w:rsidRDefault="00941BA1" w:rsidP="009358D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В рамках </w:t>
      </w:r>
      <w:r w:rsidRPr="007E7A35">
        <w:rPr>
          <w:rFonts w:ascii="Times New Roman" w:hAnsi="Times New Roman"/>
          <w:b/>
          <w:sz w:val="28"/>
          <w:szCs w:val="28"/>
        </w:rPr>
        <w:t>подготовительного этапа</w:t>
      </w:r>
      <w:r w:rsidRPr="007E7A35">
        <w:rPr>
          <w:rFonts w:ascii="Times New Roman" w:hAnsi="Times New Roman"/>
          <w:sz w:val="28"/>
          <w:szCs w:val="28"/>
        </w:rPr>
        <w:t xml:space="preserve"> производится формирование нормативной и законодательной базы для поддержки программ развития ГЧП. На данном этапе проводятся следующие мероприятия:</w:t>
      </w:r>
    </w:p>
    <w:p w:rsidR="00941BA1" w:rsidRPr="007E7A35" w:rsidRDefault="00941BA1" w:rsidP="00941BA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проводится анализ потребностей государства и возможностей бизнеса в части реализации </w:t>
      </w:r>
      <w:r w:rsidR="00E329B5" w:rsidRPr="007E7A35">
        <w:rPr>
          <w:rFonts w:ascii="Times New Roman" w:hAnsi="Times New Roman"/>
          <w:sz w:val="28"/>
          <w:szCs w:val="28"/>
        </w:rPr>
        <w:t xml:space="preserve">проектов </w:t>
      </w:r>
      <w:r w:rsidRPr="007E7A35">
        <w:rPr>
          <w:rFonts w:ascii="Times New Roman" w:hAnsi="Times New Roman"/>
          <w:sz w:val="28"/>
          <w:szCs w:val="28"/>
        </w:rPr>
        <w:t>ГЧП;</w:t>
      </w:r>
    </w:p>
    <w:p w:rsidR="00941BA1" w:rsidRPr="007E7A35" w:rsidRDefault="00941BA1" w:rsidP="00941BA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определяются цели и задачи </w:t>
      </w:r>
      <w:r w:rsidR="00E329B5" w:rsidRPr="007E7A35">
        <w:rPr>
          <w:rFonts w:ascii="Times New Roman" w:hAnsi="Times New Roman"/>
          <w:sz w:val="28"/>
          <w:szCs w:val="28"/>
        </w:rPr>
        <w:t xml:space="preserve">проектов </w:t>
      </w:r>
      <w:r w:rsidRPr="007E7A35">
        <w:rPr>
          <w:rFonts w:ascii="Times New Roman" w:hAnsi="Times New Roman"/>
          <w:sz w:val="28"/>
          <w:szCs w:val="28"/>
        </w:rPr>
        <w:t>ГЧП;</w:t>
      </w:r>
    </w:p>
    <w:p w:rsidR="00941BA1" w:rsidRPr="007E7A35" w:rsidRDefault="00941BA1" w:rsidP="00941BA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разрабатываются и устанавливаются процедуры выбора проектов;</w:t>
      </w:r>
    </w:p>
    <w:p w:rsidR="00941BA1" w:rsidRPr="007E7A35" w:rsidRDefault="00941BA1" w:rsidP="00941BA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определяются методы контроля и критерии эффективности реализуемых проектов;</w:t>
      </w:r>
    </w:p>
    <w:p w:rsidR="00941BA1" w:rsidRPr="007E7A35" w:rsidRDefault="00941BA1" w:rsidP="00941BA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готовится система по информационному обеспечению проектов. </w:t>
      </w:r>
    </w:p>
    <w:p w:rsidR="00941BA1" w:rsidRPr="007E7A35" w:rsidRDefault="009960CB" w:rsidP="003A1A0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Основной задачей подготовительного этапа является анализ и исключение возможных противоречий и непреодолимых разногласий между потенциальными участниками проектов. </w:t>
      </w:r>
      <w:r w:rsidR="000862D7" w:rsidRPr="007E7A35">
        <w:rPr>
          <w:rFonts w:ascii="Times New Roman" w:hAnsi="Times New Roman"/>
          <w:sz w:val="28"/>
          <w:szCs w:val="28"/>
        </w:rPr>
        <w:t>Также на этом этапе прорабатываются специфические моменты</w:t>
      </w:r>
      <w:r w:rsidR="00C879C7" w:rsidRPr="007E7A35">
        <w:rPr>
          <w:rFonts w:ascii="Times New Roman" w:hAnsi="Times New Roman"/>
          <w:sz w:val="28"/>
          <w:szCs w:val="28"/>
        </w:rPr>
        <w:t>,</w:t>
      </w:r>
      <w:r w:rsidR="000862D7" w:rsidRPr="007E7A35">
        <w:rPr>
          <w:rFonts w:ascii="Times New Roman" w:hAnsi="Times New Roman"/>
          <w:sz w:val="28"/>
          <w:szCs w:val="28"/>
        </w:rPr>
        <w:t xml:space="preserve"> связанные с реализацией проектов ГЧП: </w:t>
      </w:r>
      <w:r w:rsidR="00C879C7" w:rsidRPr="007E7A35">
        <w:rPr>
          <w:rFonts w:ascii="Times New Roman" w:hAnsi="Times New Roman"/>
          <w:sz w:val="28"/>
          <w:szCs w:val="28"/>
        </w:rPr>
        <w:t>ведение управленческого учета и отчетности,  процедуры закупки и конкурсных отборов и тендеров, технические регламенты и требования к оборудованию, стандарты качества продукции и услуг, профессиональные требования и критерии отбора персонала.</w:t>
      </w:r>
      <w:r w:rsidR="003A1A05" w:rsidRPr="007E7A35">
        <w:rPr>
          <w:rFonts w:ascii="Times New Roman" w:hAnsi="Times New Roman"/>
          <w:sz w:val="28"/>
          <w:szCs w:val="28"/>
        </w:rPr>
        <w:t xml:space="preserve"> </w:t>
      </w:r>
    </w:p>
    <w:p w:rsidR="00C879C7" w:rsidRPr="007E7A35" w:rsidRDefault="003A1A05" w:rsidP="00941B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lastRenderedPageBreak/>
        <w:tab/>
        <w:t xml:space="preserve">На этапе </w:t>
      </w:r>
      <w:r w:rsidRPr="007E7A35">
        <w:rPr>
          <w:rFonts w:ascii="Times New Roman" w:hAnsi="Times New Roman"/>
          <w:b/>
          <w:sz w:val="28"/>
          <w:szCs w:val="28"/>
        </w:rPr>
        <w:t>планирования проектов</w:t>
      </w:r>
      <w:r w:rsidRPr="007E7A35">
        <w:rPr>
          <w:rFonts w:ascii="Times New Roman" w:hAnsi="Times New Roman"/>
          <w:sz w:val="28"/>
          <w:szCs w:val="28"/>
        </w:rPr>
        <w:t xml:space="preserve"> основной целью является выбор оптимального портфеля проектов</w:t>
      </w:r>
      <w:r w:rsidR="009D4B04" w:rsidRPr="007E7A35">
        <w:rPr>
          <w:rFonts w:ascii="Times New Roman" w:hAnsi="Times New Roman"/>
          <w:sz w:val="28"/>
          <w:szCs w:val="28"/>
        </w:rPr>
        <w:t>. Для достижения данной цели проводятся следующие мероприятия:</w:t>
      </w:r>
    </w:p>
    <w:p w:rsidR="009D4B04" w:rsidRPr="007E7A35" w:rsidRDefault="00735869" w:rsidP="007358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ф</w:t>
      </w:r>
      <w:r w:rsidR="009D4B04" w:rsidRPr="007E7A35">
        <w:rPr>
          <w:rFonts w:ascii="Times New Roman" w:hAnsi="Times New Roman"/>
          <w:sz w:val="28"/>
          <w:szCs w:val="28"/>
        </w:rPr>
        <w:t>ормирование общественного мнения об экономических, социальных и пр. преимуществах реализации проектов;</w:t>
      </w:r>
    </w:p>
    <w:p w:rsidR="00735869" w:rsidRPr="007E7A35" w:rsidRDefault="00735869" w:rsidP="007358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информирование потенциальных участников о выгодах и перспективах участия в </w:t>
      </w:r>
      <w:r w:rsidR="00E329B5" w:rsidRPr="007E7A35">
        <w:rPr>
          <w:rFonts w:ascii="Times New Roman" w:hAnsi="Times New Roman"/>
          <w:sz w:val="28"/>
          <w:szCs w:val="28"/>
        </w:rPr>
        <w:t xml:space="preserve">проектах </w:t>
      </w:r>
      <w:r w:rsidRPr="007E7A35">
        <w:rPr>
          <w:rFonts w:ascii="Times New Roman" w:hAnsi="Times New Roman"/>
          <w:sz w:val="28"/>
          <w:szCs w:val="28"/>
        </w:rPr>
        <w:t>ГЧП;</w:t>
      </w:r>
    </w:p>
    <w:p w:rsidR="009D4B04" w:rsidRPr="007E7A35" w:rsidRDefault="00735869" w:rsidP="007358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у</w:t>
      </w:r>
      <w:r w:rsidR="009D4B04" w:rsidRPr="007E7A35">
        <w:rPr>
          <w:rFonts w:ascii="Times New Roman" w:hAnsi="Times New Roman"/>
          <w:sz w:val="28"/>
          <w:szCs w:val="28"/>
        </w:rPr>
        <w:t>становление временного горизонта и сроков</w:t>
      </w:r>
      <w:r w:rsidRPr="007E7A35">
        <w:rPr>
          <w:rFonts w:ascii="Times New Roman" w:hAnsi="Times New Roman"/>
          <w:sz w:val="28"/>
          <w:szCs w:val="28"/>
        </w:rPr>
        <w:t xml:space="preserve"> (требований)</w:t>
      </w:r>
      <w:r w:rsidR="009D4B04" w:rsidRPr="007E7A35">
        <w:rPr>
          <w:rFonts w:ascii="Times New Roman" w:hAnsi="Times New Roman"/>
          <w:sz w:val="28"/>
          <w:szCs w:val="28"/>
        </w:rPr>
        <w:t xml:space="preserve"> реализации проектов;</w:t>
      </w:r>
    </w:p>
    <w:p w:rsidR="00735869" w:rsidRPr="007E7A35" w:rsidRDefault="00735869" w:rsidP="007358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формирование стратегических показателей эффективности проектов;</w:t>
      </w:r>
    </w:p>
    <w:p w:rsidR="00735869" w:rsidRPr="007E7A35" w:rsidRDefault="00735869" w:rsidP="007358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разработка типовых проектных соглашений и системы управления проектами;</w:t>
      </w:r>
    </w:p>
    <w:p w:rsidR="00735869" w:rsidRPr="007E7A35" w:rsidRDefault="00735869" w:rsidP="007358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устанавливаются конкретные регламенты и методы мониторинга проектов;</w:t>
      </w:r>
    </w:p>
    <w:p w:rsidR="00735869" w:rsidRPr="007E7A35" w:rsidRDefault="00735869" w:rsidP="0073586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осуществляется подбор, подготовка и обучение персонала.</w:t>
      </w:r>
    </w:p>
    <w:p w:rsidR="00735869" w:rsidRPr="007E7A35" w:rsidRDefault="00B5121B" w:rsidP="009358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Фактически, на данном этапе должен быть подготовлен механизм по поиску и запуску </w:t>
      </w:r>
      <w:r w:rsidR="00E329B5" w:rsidRPr="007E7A35">
        <w:rPr>
          <w:rFonts w:ascii="Times New Roman" w:hAnsi="Times New Roman"/>
          <w:sz w:val="28"/>
          <w:szCs w:val="28"/>
        </w:rPr>
        <w:t xml:space="preserve">проектов </w:t>
      </w:r>
      <w:r w:rsidRPr="007E7A35">
        <w:rPr>
          <w:rFonts w:ascii="Times New Roman" w:hAnsi="Times New Roman"/>
          <w:sz w:val="28"/>
          <w:szCs w:val="28"/>
        </w:rPr>
        <w:t xml:space="preserve">ГЧП, </w:t>
      </w:r>
      <w:r w:rsidR="00FB4B8B" w:rsidRPr="007E7A35">
        <w:rPr>
          <w:rFonts w:ascii="Times New Roman" w:hAnsi="Times New Roman"/>
          <w:sz w:val="28"/>
          <w:szCs w:val="28"/>
        </w:rPr>
        <w:t xml:space="preserve">проведению конкурсов и тендерных процедур, </w:t>
      </w:r>
      <w:r w:rsidR="00E329B5" w:rsidRPr="007E7A35">
        <w:rPr>
          <w:rFonts w:ascii="Times New Roman" w:hAnsi="Times New Roman"/>
          <w:sz w:val="28"/>
          <w:szCs w:val="28"/>
        </w:rPr>
        <w:t xml:space="preserve">должна быть </w:t>
      </w:r>
      <w:r w:rsidRPr="007E7A35">
        <w:rPr>
          <w:rFonts w:ascii="Times New Roman" w:hAnsi="Times New Roman"/>
          <w:sz w:val="28"/>
          <w:szCs w:val="28"/>
        </w:rPr>
        <w:t>высок</w:t>
      </w:r>
      <w:r w:rsidR="00E329B5" w:rsidRPr="007E7A35">
        <w:rPr>
          <w:rFonts w:ascii="Times New Roman" w:hAnsi="Times New Roman"/>
          <w:sz w:val="28"/>
          <w:szCs w:val="28"/>
        </w:rPr>
        <w:t>ая степень</w:t>
      </w:r>
      <w:r w:rsidRPr="007E7A35">
        <w:rPr>
          <w:rFonts w:ascii="Times New Roman" w:hAnsi="Times New Roman"/>
          <w:sz w:val="28"/>
          <w:szCs w:val="28"/>
        </w:rPr>
        <w:t xml:space="preserve"> готовности</w:t>
      </w:r>
      <w:r w:rsidR="00E30661" w:rsidRPr="007E7A35">
        <w:rPr>
          <w:rFonts w:ascii="Times New Roman" w:hAnsi="Times New Roman"/>
          <w:sz w:val="28"/>
          <w:szCs w:val="28"/>
        </w:rPr>
        <w:t xml:space="preserve"> к проведению конкурсного отбора перспективных проектов и их реализации по результатам </w:t>
      </w:r>
      <w:r w:rsidR="00E329B5" w:rsidRPr="007E7A35">
        <w:rPr>
          <w:rFonts w:ascii="Times New Roman" w:hAnsi="Times New Roman"/>
          <w:sz w:val="28"/>
          <w:szCs w:val="28"/>
        </w:rPr>
        <w:t xml:space="preserve">такого </w:t>
      </w:r>
      <w:r w:rsidR="00E30661" w:rsidRPr="007E7A35">
        <w:rPr>
          <w:rFonts w:ascii="Times New Roman" w:hAnsi="Times New Roman"/>
          <w:sz w:val="28"/>
          <w:szCs w:val="28"/>
        </w:rPr>
        <w:t>отбора.</w:t>
      </w:r>
    </w:p>
    <w:p w:rsidR="00CB5F4D" w:rsidRPr="007E7A35" w:rsidRDefault="00CB5F4D" w:rsidP="00CB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5F4D" w:rsidRPr="007E7A35" w:rsidRDefault="00CB5F4D" w:rsidP="009358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Этап </w:t>
      </w:r>
      <w:r w:rsidRPr="007E7A35">
        <w:rPr>
          <w:rFonts w:ascii="Times New Roman" w:hAnsi="Times New Roman"/>
          <w:b/>
          <w:sz w:val="28"/>
          <w:szCs w:val="28"/>
        </w:rPr>
        <w:t>формализации сделки</w:t>
      </w:r>
      <w:r w:rsidRPr="007E7A35">
        <w:rPr>
          <w:rFonts w:ascii="Times New Roman" w:hAnsi="Times New Roman"/>
          <w:sz w:val="28"/>
          <w:szCs w:val="28"/>
        </w:rPr>
        <w:t xml:space="preserve"> ГЧП является достаточно коротким, но ключевым для успеха проекта. На этом этапе проводится:</w:t>
      </w:r>
    </w:p>
    <w:p w:rsidR="00CB5F4D" w:rsidRPr="007E7A35" w:rsidRDefault="00FB4B8B" w:rsidP="00FB4B8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формирование списка допущенных к конкурсу участников;</w:t>
      </w:r>
    </w:p>
    <w:p w:rsidR="00FB4B8B" w:rsidRPr="007E7A35" w:rsidRDefault="00FB4B8B" w:rsidP="00FB4B8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анализ поступивших проектов;</w:t>
      </w:r>
    </w:p>
    <w:p w:rsidR="00FB4B8B" w:rsidRPr="007E7A35" w:rsidRDefault="00FB4B8B" w:rsidP="00FB4B8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выбор основных претендентов;</w:t>
      </w:r>
    </w:p>
    <w:p w:rsidR="00FB4B8B" w:rsidRPr="007E7A35" w:rsidRDefault="00FB4B8B" w:rsidP="00FB4B8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проведение конкурса и определение победителей;</w:t>
      </w:r>
    </w:p>
    <w:p w:rsidR="00FB4B8B" w:rsidRPr="007E7A35" w:rsidRDefault="00FB4B8B" w:rsidP="00FB4B8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подготовка финального варианта проектного соглашения;</w:t>
      </w:r>
    </w:p>
    <w:p w:rsidR="00FB4B8B" w:rsidRPr="007E7A35" w:rsidRDefault="00FB4B8B" w:rsidP="00FB4B8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закрытие сделки.</w:t>
      </w:r>
    </w:p>
    <w:p w:rsidR="00FB4B8B" w:rsidRPr="007E7A35" w:rsidRDefault="00BC7D63" w:rsidP="00BC7D6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lastRenderedPageBreak/>
        <w:t xml:space="preserve">Ключевой задачей при формализации сделки является управление </w:t>
      </w:r>
      <w:r w:rsidR="00183364" w:rsidRPr="007E7A35">
        <w:rPr>
          <w:rFonts w:ascii="Times New Roman" w:hAnsi="Times New Roman"/>
          <w:sz w:val="28"/>
          <w:szCs w:val="28"/>
        </w:rPr>
        <w:t xml:space="preserve">конкурсным </w:t>
      </w:r>
      <w:r w:rsidRPr="007E7A35">
        <w:rPr>
          <w:rFonts w:ascii="Times New Roman" w:hAnsi="Times New Roman"/>
          <w:sz w:val="28"/>
          <w:szCs w:val="28"/>
        </w:rPr>
        <w:t>процессом и соблюдение баланса интересов</w:t>
      </w:r>
      <w:r w:rsidR="00183364" w:rsidRPr="007E7A35">
        <w:rPr>
          <w:rFonts w:ascii="Times New Roman" w:hAnsi="Times New Roman"/>
          <w:sz w:val="28"/>
          <w:szCs w:val="28"/>
        </w:rPr>
        <w:t>:</w:t>
      </w:r>
      <w:r w:rsidRPr="007E7A35">
        <w:rPr>
          <w:rFonts w:ascii="Times New Roman" w:hAnsi="Times New Roman"/>
          <w:sz w:val="28"/>
          <w:szCs w:val="28"/>
        </w:rPr>
        <w:t xml:space="preserve"> для государства </w:t>
      </w:r>
      <w:r w:rsidR="00183364" w:rsidRPr="007E7A35">
        <w:rPr>
          <w:rFonts w:ascii="Times New Roman" w:hAnsi="Times New Roman"/>
          <w:sz w:val="28"/>
          <w:szCs w:val="28"/>
        </w:rPr>
        <w:t xml:space="preserve">необходимо </w:t>
      </w:r>
      <w:r w:rsidRPr="007E7A35">
        <w:rPr>
          <w:rFonts w:ascii="Times New Roman" w:hAnsi="Times New Roman"/>
          <w:sz w:val="28"/>
          <w:szCs w:val="28"/>
        </w:rPr>
        <w:t>защит</w:t>
      </w:r>
      <w:r w:rsidR="00183364" w:rsidRPr="007E7A35">
        <w:rPr>
          <w:rFonts w:ascii="Times New Roman" w:hAnsi="Times New Roman"/>
          <w:sz w:val="28"/>
          <w:szCs w:val="28"/>
        </w:rPr>
        <w:t>ить</w:t>
      </w:r>
      <w:r w:rsidRPr="007E7A35">
        <w:rPr>
          <w:rFonts w:ascii="Times New Roman" w:hAnsi="Times New Roman"/>
          <w:sz w:val="28"/>
          <w:szCs w:val="28"/>
        </w:rPr>
        <w:t xml:space="preserve"> прав</w:t>
      </w:r>
      <w:r w:rsidR="00183364" w:rsidRPr="007E7A35">
        <w:rPr>
          <w:rFonts w:ascii="Times New Roman" w:hAnsi="Times New Roman"/>
          <w:sz w:val="28"/>
          <w:szCs w:val="28"/>
        </w:rPr>
        <w:t>а</w:t>
      </w:r>
      <w:r w:rsidRPr="007E7A35">
        <w:rPr>
          <w:rFonts w:ascii="Times New Roman" w:hAnsi="Times New Roman"/>
          <w:sz w:val="28"/>
          <w:szCs w:val="28"/>
        </w:rPr>
        <w:t xml:space="preserve"> собственности и целевы</w:t>
      </w:r>
      <w:r w:rsidR="00183364" w:rsidRPr="007E7A35">
        <w:rPr>
          <w:rFonts w:ascii="Times New Roman" w:hAnsi="Times New Roman"/>
          <w:sz w:val="28"/>
          <w:szCs w:val="28"/>
        </w:rPr>
        <w:t>е</w:t>
      </w:r>
      <w:r w:rsidRPr="007E7A35">
        <w:rPr>
          <w:rFonts w:ascii="Times New Roman" w:hAnsi="Times New Roman"/>
          <w:sz w:val="28"/>
          <w:szCs w:val="28"/>
        </w:rPr>
        <w:t xml:space="preserve"> показател</w:t>
      </w:r>
      <w:r w:rsidR="00183364" w:rsidRPr="007E7A35">
        <w:rPr>
          <w:rFonts w:ascii="Times New Roman" w:hAnsi="Times New Roman"/>
          <w:sz w:val="28"/>
          <w:szCs w:val="28"/>
        </w:rPr>
        <w:t>и</w:t>
      </w:r>
      <w:r w:rsidRPr="007E7A35">
        <w:rPr>
          <w:rFonts w:ascii="Times New Roman" w:hAnsi="Times New Roman"/>
          <w:sz w:val="28"/>
          <w:szCs w:val="28"/>
        </w:rPr>
        <w:t xml:space="preserve"> проекта, для инвестора </w:t>
      </w:r>
      <w:r w:rsidR="00183364" w:rsidRPr="007E7A35">
        <w:rPr>
          <w:rFonts w:ascii="Times New Roman" w:hAnsi="Times New Roman"/>
          <w:sz w:val="28"/>
          <w:szCs w:val="28"/>
        </w:rPr>
        <w:t xml:space="preserve">– </w:t>
      </w:r>
      <w:r w:rsidRPr="007E7A35">
        <w:rPr>
          <w:rFonts w:ascii="Times New Roman" w:hAnsi="Times New Roman"/>
          <w:sz w:val="28"/>
          <w:szCs w:val="28"/>
        </w:rPr>
        <w:t>установ</w:t>
      </w:r>
      <w:r w:rsidR="00183364" w:rsidRPr="007E7A35">
        <w:rPr>
          <w:rFonts w:ascii="Times New Roman" w:hAnsi="Times New Roman"/>
          <w:sz w:val="28"/>
          <w:szCs w:val="28"/>
        </w:rPr>
        <w:t xml:space="preserve">ить </w:t>
      </w:r>
      <w:r w:rsidRPr="007E7A35">
        <w:rPr>
          <w:rFonts w:ascii="Times New Roman" w:hAnsi="Times New Roman"/>
          <w:sz w:val="28"/>
          <w:szCs w:val="28"/>
        </w:rPr>
        <w:t>ясны</w:t>
      </w:r>
      <w:r w:rsidR="00183364" w:rsidRPr="007E7A35">
        <w:rPr>
          <w:rFonts w:ascii="Times New Roman" w:hAnsi="Times New Roman"/>
          <w:sz w:val="28"/>
          <w:szCs w:val="28"/>
        </w:rPr>
        <w:t>е</w:t>
      </w:r>
      <w:r w:rsidRPr="007E7A35">
        <w:rPr>
          <w:rFonts w:ascii="Times New Roman" w:hAnsi="Times New Roman"/>
          <w:sz w:val="28"/>
          <w:szCs w:val="28"/>
        </w:rPr>
        <w:t xml:space="preserve"> и достижимы</w:t>
      </w:r>
      <w:r w:rsidR="00183364" w:rsidRPr="007E7A35">
        <w:rPr>
          <w:rFonts w:ascii="Times New Roman" w:hAnsi="Times New Roman"/>
          <w:sz w:val="28"/>
          <w:szCs w:val="28"/>
        </w:rPr>
        <w:t>е</w:t>
      </w:r>
      <w:r w:rsidRPr="007E7A35">
        <w:rPr>
          <w:rFonts w:ascii="Times New Roman" w:hAnsi="Times New Roman"/>
          <w:sz w:val="28"/>
          <w:szCs w:val="28"/>
        </w:rPr>
        <w:t xml:space="preserve"> финансово-экономически</w:t>
      </w:r>
      <w:r w:rsidR="00183364" w:rsidRPr="007E7A35">
        <w:rPr>
          <w:rFonts w:ascii="Times New Roman" w:hAnsi="Times New Roman"/>
          <w:sz w:val="28"/>
          <w:szCs w:val="28"/>
        </w:rPr>
        <w:t>е</w:t>
      </w:r>
      <w:r w:rsidRPr="007E7A35">
        <w:rPr>
          <w:rFonts w:ascii="Times New Roman" w:hAnsi="Times New Roman"/>
          <w:sz w:val="28"/>
          <w:szCs w:val="28"/>
        </w:rPr>
        <w:t xml:space="preserve"> показател</w:t>
      </w:r>
      <w:r w:rsidR="00183364" w:rsidRPr="007E7A35">
        <w:rPr>
          <w:rFonts w:ascii="Times New Roman" w:hAnsi="Times New Roman"/>
          <w:sz w:val="28"/>
          <w:szCs w:val="28"/>
        </w:rPr>
        <w:t>и</w:t>
      </w:r>
      <w:r w:rsidRPr="007E7A35">
        <w:rPr>
          <w:rFonts w:ascii="Times New Roman" w:hAnsi="Times New Roman"/>
          <w:sz w:val="28"/>
          <w:szCs w:val="28"/>
        </w:rPr>
        <w:t xml:space="preserve"> проекта, выработ</w:t>
      </w:r>
      <w:r w:rsidR="00183364" w:rsidRPr="007E7A35">
        <w:rPr>
          <w:rFonts w:ascii="Times New Roman" w:hAnsi="Times New Roman"/>
          <w:sz w:val="28"/>
          <w:szCs w:val="28"/>
        </w:rPr>
        <w:t>ать</w:t>
      </w:r>
      <w:r w:rsidRPr="007E7A35">
        <w:rPr>
          <w:rFonts w:ascii="Times New Roman" w:hAnsi="Times New Roman"/>
          <w:sz w:val="28"/>
          <w:szCs w:val="28"/>
        </w:rPr>
        <w:t xml:space="preserve"> мер</w:t>
      </w:r>
      <w:r w:rsidR="00183364" w:rsidRPr="007E7A35">
        <w:rPr>
          <w:rFonts w:ascii="Times New Roman" w:hAnsi="Times New Roman"/>
          <w:sz w:val="28"/>
          <w:szCs w:val="28"/>
        </w:rPr>
        <w:t>ы</w:t>
      </w:r>
      <w:r w:rsidRPr="007E7A35">
        <w:rPr>
          <w:rFonts w:ascii="Times New Roman" w:hAnsi="Times New Roman"/>
          <w:sz w:val="28"/>
          <w:szCs w:val="28"/>
        </w:rPr>
        <w:t xml:space="preserve"> поощрения за досрочное выполнение обязательств и штрафны</w:t>
      </w:r>
      <w:r w:rsidR="00183364" w:rsidRPr="007E7A35">
        <w:rPr>
          <w:rFonts w:ascii="Times New Roman" w:hAnsi="Times New Roman"/>
          <w:sz w:val="28"/>
          <w:szCs w:val="28"/>
        </w:rPr>
        <w:t>е</w:t>
      </w:r>
      <w:r w:rsidRPr="007E7A35">
        <w:rPr>
          <w:rFonts w:ascii="Times New Roman" w:hAnsi="Times New Roman"/>
          <w:sz w:val="28"/>
          <w:szCs w:val="28"/>
        </w:rPr>
        <w:t xml:space="preserve"> санкци</w:t>
      </w:r>
      <w:r w:rsidR="00183364" w:rsidRPr="007E7A35">
        <w:rPr>
          <w:rFonts w:ascii="Times New Roman" w:hAnsi="Times New Roman"/>
          <w:sz w:val="28"/>
          <w:szCs w:val="28"/>
        </w:rPr>
        <w:t>и</w:t>
      </w:r>
      <w:r w:rsidRPr="007E7A35">
        <w:rPr>
          <w:rFonts w:ascii="Times New Roman" w:hAnsi="Times New Roman"/>
          <w:sz w:val="28"/>
          <w:szCs w:val="28"/>
        </w:rPr>
        <w:t xml:space="preserve"> за нарушение условий договора о ГЧП.</w:t>
      </w:r>
    </w:p>
    <w:p w:rsidR="00BC7D63" w:rsidRPr="007E7A35" w:rsidRDefault="00BC7D63" w:rsidP="00CB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1745" w:rsidRPr="007E7A35" w:rsidRDefault="00C01745" w:rsidP="009358D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Этап </w:t>
      </w:r>
      <w:r w:rsidRPr="007E7A35">
        <w:rPr>
          <w:rFonts w:ascii="Times New Roman" w:hAnsi="Times New Roman"/>
          <w:b/>
          <w:sz w:val="28"/>
          <w:szCs w:val="28"/>
        </w:rPr>
        <w:t>реализации проекта</w:t>
      </w:r>
      <w:r w:rsidRPr="007E7A35">
        <w:rPr>
          <w:rFonts w:ascii="Times New Roman" w:hAnsi="Times New Roman"/>
          <w:sz w:val="28"/>
          <w:szCs w:val="28"/>
        </w:rPr>
        <w:t xml:space="preserve"> должен происходить при тщательном мониторинге и оценке плана-графика реализации проекта как со стороны уполномоченного государством органа, так и со стороны инвестора. Такой подход дает возможность на раннем этапе выявить возможные проблемы в реализации проекта, определить меры по оптимизации проекта и исключить трения между его участниками. К </w:t>
      </w:r>
      <w:r w:rsidR="00544968" w:rsidRPr="007E7A35">
        <w:rPr>
          <w:rFonts w:ascii="Times New Roman" w:hAnsi="Times New Roman"/>
          <w:sz w:val="28"/>
          <w:szCs w:val="28"/>
        </w:rPr>
        <w:t xml:space="preserve">этапу </w:t>
      </w:r>
      <w:r w:rsidRPr="007E7A35">
        <w:rPr>
          <w:rFonts w:ascii="Times New Roman" w:hAnsi="Times New Roman"/>
          <w:sz w:val="28"/>
          <w:szCs w:val="28"/>
        </w:rPr>
        <w:t>реализации проекта относятся:</w:t>
      </w:r>
    </w:p>
    <w:p w:rsidR="00C01745" w:rsidRPr="007E7A35" w:rsidRDefault="00C01745" w:rsidP="00C017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передача находящегося в государственной собственности объекта частному предприятию</w:t>
      </w:r>
      <w:r w:rsidR="00544968" w:rsidRPr="007E7A35">
        <w:rPr>
          <w:rFonts w:ascii="Times New Roman" w:hAnsi="Times New Roman"/>
          <w:sz w:val="28"/>
          <w:szCs w:val="28"/>
        </w:rPr>
        <w:t xml:space="preserve"> -</w:t>
      </w:r>
      <w:r w:rsidRPr="007E7A35">
        <w:rPr>
          <w:rFonts w:ascii="Times New Roman" w:hAnsi="Times New Roman"/>
          <w:sz w:val="28"/>
          <w:szCs w:val="28"/>
        </w:rPr>
        <w:t xml:space="preserve"> участнику партнерства;</w:t>
      </w:r>
    </w:p>
    <w:p w:rsidR="00C01745" w:rsidRPr="007E7A35" w:rsidRDefault="00C01745" w:rsidP="00C017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реализация инвестиционных мероприятий (строительство, реконструкция, модернизация и т.п.);</w:t>
      </w:r>
    </w:p>
    <w:p w:rsidR="00C01745" w:rsidRPr="007E7A35" w:rsidRDefault="00C01745" w:rsidP="00C017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эксплуатация объекта;</w:t>
      </w:r>
    </w:p>
    <w:p w:rsidR="00C01745" w:rsidRPr="007E7A35" w:rsidRDefault="00C01745" w:rsidP="00C0174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ремонтное и сервисное обслуживание.</w:t>
      </w:r>
    </w:p>
    <w:p w:rsidR="00C01745" w:rsidRPr="007E7A35" w:rsidRDefault="00043536" w:rsidP="00C017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В ходе реализации сделки проводится оценка </w:t>
      </w:r>
      <w:r w:rsidR="00544968" w:rsidRPr="007E7A35">
        <w:rPr>
          <w:rFonts w:ascii="Times New Roman" w:hAnsi="Times New Roman"/>
          <w:sz w:val="28"/>
          <w:szCs w:val="28"/>
        </w:rPr>
        <w:t xml:space="preserve">КПЭ </w:t>
      </w:r>
      <w:r w:rsidRPr="007E7A35">
        <w:rPr>
          <w:rFonts w:ascii="Times New Roman" w:hAnsi="Times New Roman"/>
          <w:sz w:val="28"/>
          <w:szCs w:val="28"/>
        </w:rPr>
        <w:t xml:space="preserve">(ключевых показателей эффективности) проекта. </w:t>
      </w:r>
      <w:r w:rsidR="00544968" w:rsidRPr="007E7A35">
        <w:rPr>
          <w:rFonts w:ascii="Times New Roman" w:hAnsi="Times New Roman"/>
          <w:sz w:val="28"/>
          <w:szCs w:val="28"/>
        </w:rPr>
        <w:t>Условиями договора о ГЧП проведение независимой оценки может быть поручено третьей стороне, например аудиторской компании.</w:t>
      </w:r>
    </w:p>
    <w:p w:rsidR="00043536" w:rsidRPr="007E7A35" w:rsidRDefault="00043536" w:rsidP="000435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 xml:space="preserve">Этап </w:t>
      </w:r>
      <w:r w:rsidRPr="007E7A35">
        <w:rPr>
          <w:rFonts w:ascii="Times New Roman" w:hAnsi="Times New Roman"/>
          <w:b/>
          <w:sz w:val="28"/>
          <w:szCs w:val="28"/>
        </w:rPr>
        <w:t>выхода из проекта</w:t>
      </w:r>
      <w:r w:rsidRPr="007E7A35">
        <w:rPr>
          <w:rFonts w:ascii="Times New Roman" w:hAnsi="Times New Roman"/>
          <w:sz w:val="28"/>
          <w:szCs w:val="28"/>
        </w:rPr>
        <w:t xml:space="preserve"> или завершения проекта наступает по истечению сроков реализации ГЧП проекта.</w:t>
      </w:r>
      <w:r w:rsidR="00075575" w:rsidRPr="007E7A35">
        <w:rPr>
          <w:rFonts w:ascii="Times New Roman" w:hAnsi="Times New Roman"/>
          <w:sz w:val="28"/>
          <w:szCs w:val="28"/>
        </w:rPr>
        <w:t xml:space="preserve"> Проводится всесторонний анализ результатов</w:t>
      </w:r>
      <w:r w:rsidR="000B1742" w:rsidRPr="007E7A35">
        <w:rPr>
          <w:rFonts w:ascii="Times New Roman" w:hAnsi="Times New Roman"/>
          <w:sz w:val="28"/>
          <w:szCs w:val="28"/>
        </w:rPr>
        <w:t xml:space="preserve"> проекта</w:t>
      </w:r>
      <w:r w:rsidR="00075575" w:rsidRPr="007E7A35">
        <w:rPr>
          <w:rFonts w:ascii="Times New Roman" w:hAnsi="Times New Roman"/>
          <w:sz w:val="28"/>
          <w:szCs w:val="28"/>
        </w:rPr>
        <w:t>, прежде всего базового актива</w:t>
      </w:r>
      <w:r w:rsidR="000B1742" w:rsidRPr="007E7A35">
        <w:rPr>
          <w:rFonts w:ascii="Times New Roman" w:hAnsi="Times New Roman"/>
          <w:sz w:val="28"/>
          <w:szCs w:val="28"/>
        </w:rPr>
        <w:t xml:space="preserve">, который является </w:t>
      </w:r>
      <w:r w:rsidR="00075575" w:rsidRPr="007E7A35">
        <w:rPr>
          <w:rFonts w:ascii="Times New Roman" w:hAnsi="Times New Roman"/>
          <w:sz w:val="28"/>
          <w:szCs w:val="28"/>
        </w:rPr>
        <w:t>государственной собственности. На этапе выхода из проекта:</w:t>
      </w:r>
    </w:p>
    <w:p w:rsidR="00075575" w:rsidRPr="007E7A35" w:rsidRDefault="00075575" w:rsidP="000B1742">
      <w:pPr>
        <w:pStyle w:val="a3"/>
        <w:numPr>
          <w:ilvl w:val="0"/>
          <w:numId w:val="18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проводится оценка состояния и стоимости государственной собственности, инвентаризация имущества;</w:t>
      </w:r>
    </w:p>
    <w:p w:rsidR="00075575" w:rsidRPr="007E7A35" w:rsidRDefault="00075575" w:rsidP="000B1742">
      <w:pPr>
        <w:pStyle w:val="a3"/>
        <w:numPr>
          <w:ilvl w:val="0"/>
          <w:numId w:val="18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проводится оценка предусмотренных выгод от партнерства;</w:t>
      </w:r>
    </w:p>
    <w:p w:rsidR="00075575" w:rsidRPr="007E7A35" w:rsidRDefault="00075575" w:rsidP="000B1742">
      <w:pPr>
        <w:pStyle w:val="a3"/>
        <w:numPr>
          <w:ilvl w:val="0"/>
          <w:numId w:val="18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lastRenderedPageBreak/>
        <w:t>производятся финансовые расчеты по проекту;</w:t>
      </w:r>
    </w:p>
    <w:p w:rsidR="00075575" w:rsidRPr="007E7A35" w:rsidRDefault="00075575" w:rsidP="000B1742">
      <w:pPr>
        <w:pStyle w:val="a3"/>
        <w:numPr>
          <w:ilvl w:val="0"/>
          <w:numId w:val="18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осуществляются процедуры по возврату актива;</w:t>
      </w:r>
    </w:p>
    <w:p w:rsidR="00075575" w:rsidRPr="007E7A35" w:rsidRDefault="00075575" w:rsidP="000B1742">
      <w:pPr>
        <w:pStyle w:val="a3"/>
        <w:numPr>
          <w:ilvl w:val="0"/>
          <w:numId w:val="18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проводятся мероприятия по смене менеджмента и персонала, управлявшего активом в период действия договора о ГЧП.</w:t>
      </w:r>
    </w:p>
    <w:p w:rsidR="00C01745" w:rsidRPr="00C01745" w:rsidRDefault="00075575" w:rsidP="00C017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A35">
        <w:rPr>
          <w:rFonts w:ascii="Times New Roman" w:hAnsi="Times New Roman"/>
          <w:sz w:val="28"/>
          <w:szCs w:val="28"/>
        </w:rPr>
        <w:t>Необходимо отметить, что наиболее целесообразн</w:t>
      </w:r>
      <w:r w:rsidR="000B1742" w:rsidRPr="007E7A35">
        <w:rPr>
          <w:rFonts w:ascii="Times New Roman" w:hAnsi="Times New Roman"/>
          <w:sz w:val="28"/>
          <w:szCs w:val="28"/>
        </w:rPr>
        <w:t>ой</w:t>
      </w:r>
      <w:r w:rsidRPr="007E7A35">
        <w:rPr>
          <w:rFonts w:ascii="Times New Roman" w:hAnsi="Times New Roman"/>
          <w:sz w:val="28"/>
          <w:szCs w:val="28"/>
        </w:rPr>
        <w:t xml:space="preserve"> является </w:t>
      </w:r>
      <w:r w:rsidR="000B1742" w:rsidRPr="007E7A35">
        <w:rPr>
          <w:rFonts w:ascii="Times New Roman" w:hAnsi="Times New Roman"/>
          <w:sz w:val="28"/>
          <w:szCs w:val="28"/>
        </w:rPr>
        <w:t xml:space="preserve">непрерывная, т.е. проводимая в течение всего периода реализации проекта оценка деятельности ГЧП по заранее установленным критериям. Последующая </w:t>
      </w:r>
      <w:r w:rsidRPr="007E7A35">
        <w:rPr>
          <w:rFonts w:ascii="Times New Roman" w:hAnsi="Times New Roman"/>
          <w:sz w:val="28"/>
          <w:szCs w:val="28"/>
        </w:rPr>
        <w:t>оценка результатов деятельности ГЧП</w:t>
      </w:r>
      <w:r w:rsidR="000B1742" w:rsidRPr="007E7A35">
        <w:rPr>
          <w:rFonts w:ascii="Times New Roman" w:hAnsi="Times New Roman"/>
          <w:sz w:val="28"/>
          <w:szCs w:val="28"/>
        </w:rPr>
        <w:t xml:space="preserve"> по его завершении может лишь констатировать его результат, без возможности повлиять на этот результат</w:t>
      </w:r>
      <w:r w:rsidRPr="007E7A35">
        <w:rPr>
          <w:rFonts w:ascii="Times New Roman" w:hAnsi="Times New Roman"/>
          <w:sz w:val="28"/>
          <w:szCs w:val="28"/>
        </w:rPr>
        <w:t>. Набор критериев обычно включает в себя: социально-экономический эффект от деятельности ГЧП (пр</w:t>
      </w:r>
      <w:r w:rsidR="006B22F0" w:rsidRPr="007E7A35">
        <w:rPr>
          <w:rFonts w:ascii="Times New Roman" w:hAnsi="Times New Roman"/>
          <w:sz w:val="28"/>
          <w:szCs w:val="28"/>
        </w:rPr>
        <w:t>оизводство продукции, предоставление услуг, занятость населения и т.п.)</w:t>
      </w:r>
      <w:r w:rsidRPr="007E7A35">
        <w:rPr>
          <w:rFonts w:ascii="Times New Roman" w:hAnsi="Times New Roman"/>
          <w:sz w:val="28"/>
          <w:szCs w:val="28"/>
        </w:rPr>
        <w:t>, фи</w:t>
      </w:r>
      <w:r w:rsidR="006B22F0" w:rsidRPr="007E7A35">
        <w:rPr>
          <w:rFonts w:ascii="Times New Roman" w:hAnsi="Times New Roman"/>
          <w:sz w:val="28"/>
          <w:szCs w:val="28"/>
        </w:rPr>
        <w:t xml:space="preserve">нансово – экономические показатели (прирост </w:t>
      </w:r>
      <w:r w:rsidR="00182373" w:rsidRPr="007E7A35">
        <w:rPr>
          <w:rFonts w:ascii="Times New Roman" w:hAnsi="Times New Roman"/>
          <w:sz w:val="28"/>
          <w:szCs w:val="28"/>
        </w:rPr>
        <w:t xml:space="preserve">стоимости </w:t>
      </w:r>
      <w:r w:rsidR="006B22F0" w:rsidRPr="007E7A35">
        <w:rPr>
          <w:rFonts w:ascii="Times New Roman" w:hAnsi="Times New Roman"/>
          <w:sz w:val="28"/>
          <w:szCs w:val="28"/>
        </w:rPr>
        <w:t>актива, доходы бюджетов, налоговые поступления), инфраструктурные эффекты от реализации ГЧП проекта</w:t>
      </w:r>
      <w:r w:rsidR="00182373" w:rsidRPr="007E7A35">
        <w:rPr>
          <w:rFonts w:ascii="Times New Roman" w:hAnsi="Times New Roman"/>
          <w:sz w:val="28"/>
          <w:szCs w:val="28"/>
        </w:rPr>
        <w:t xml:space="preserve"> (</w:t>
      </w:r>
      <w:r w:rsidR="006B22F0" w:rsidRPr="007E7A35">
        <w:rPr>
          <w:rFonts w:ascii="Times New Roman" w:hAnsi="Times New Roman"/>
          <w:sz w:val="28"/>
          <w:szCs w:val="28"/>
        </w:rPr>
        <w:t>транспортная доступность, энергообеспечение и информационная связанность</w:t>
      </w:r>
      <w:r w:rsidR="00182373" w:rsidRPr="007E7A35">
        <w:rPr>
          <w:rFonts w:ascii="Times New Roman" w:hAnsi="Times New Roman"/>
          <w:sz w:val="28"/>
          <w:szCs w:val="28"/>
        </w:rPr>
        <w:t>)</w:t>
      </w:r>
      <w:r w:rsidR="006B22F0" w:rsidRPr="007E7A35">
        <w:rPr>
          <w:rFonts w:ascii="Times New Roman" w:hAnsi="Times New Roman"/>
          <w:sz w:val="28"/>
          <w:szCs w:val="28"/>
        </w:rPr>
        <w:t>.</w:t>
      </w:r>
    </w:p>
    <w:p w:rsidR="00FB4B8B" w:rsidRPr="00CB5F4D" w:rsidRDefault="00FB4B8B" w:rsidP="00CB5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1774" w:rsidRPr="007E7A35" w:rsidRDefault="00771774" w:rsidP="003F1B7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7A35">
        <w:rPr>
          <w:rFonts w:ascii="Times New Roman" w:hAnsi="Times New Roman"/>
          <w:b/>
          <w:sz w:val="28"/>
          <w:szCs w:val="28"/>
        </w:rPr>
        <w:t xml:space="preserve">Возможности и ограничения механизма </w:t>
      </w:r>
      <w:r w:rsidR="007E7A35">
        <w:rPr>
          <w:rFonts w:ascii="Times New Roman" w:hAnsi="Times New Roman"/>
          <w:b/>
          <w:sz w:val="28"/>
          <w:szCs w:val="28"/>
        </w:rPr>
        <w:t>ГЧП</w:t>
      </w:r>
    </w:p>
    <w:p w:rsidR="00D604D9" w:rsidRDefault="00232325" w:rsidP="008C79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концепции долгосрочного социально-экономического развития Российской Федерации</w:t>
      </w:r>
      <w:r w:rsidR="003F1B78">
        <w:rPr>
          <w:rFonts w:ascii="Times New Roman" w:hAnsi="Times New Roman"/>
          <w:sz w:val="28"/>
          <w:szCs w:val="28"/>
        </w:rPr>
        <w:t>,</w:t>
      </w:r>
      <w:r>
        <w:rPr>
          <w:rStyle w:val="aa"/>
          <w:rFonts w:ascii="Times New Roman" w:hAnsi="Times New Roman"/>
          <w:sz w:val="28"/>
          <w:szCs w:val="28"/>
        </w:rPr>
        <w:footnoteReference w:id="18"/>
      </w:r>
      <w:r>
        <w:rPr>
          <w:rFonts w:ascii="Times New Roman" w:hAnsi="Times New Roman"/>
          <w:sz w:val="28"/>
          <w:szCs w:val="28"/>
        </w:rPr>
        <w:t xml:space="preserve"> </w:t>
      </w:r>
      <w:r w:rsidR="008C794E">
        <w:rPr>
          <w:rFonts w:ascii="Times New Roman" w:hAnsi="Times New Roman"/>
          <w:sz w:val="28"/>
          <w:szCs w:val="28"/>
        </w:rPr>
        <w:t>н</w:t>
      </w:r>
      <w:r w:rsidR="009D3416">
        <w:rPr>
          <w:rFonts w:ascii="Times New Roman" w:hAnsi="Times New Roman"/>
          <w:sz w:val="28"/>
          <w:szCs w:val="28"/>
        </w:rPr>
        <w:t xml:space="preserve">а ГЧП возложены большие надежды и </w:t>
      </w:r>
      <w:r w:rsidR="007C67E6">
        <w:rPr>
          <w:rFonts w:ascii="Times New Roman" w:hAnsi="Times New Roman"/>
          <w:sz w:val="28"/>
          <w:szCs w:val="28"/>
        </w:rPr>
        <w:t xml:space="preserve">поставлены </w:t>
      </w:r>
      <w:r w:rsidR="009D3416">
        <w:rPr>
          <w:rFonts w:ascii="Times New Roman" w:hAnsi="Times New Roman"/>
          <w:sz w:val="28"/>
          <w:szCs w:val="28"/>
        </w:rPr>
        <w:t xml:space="preserve">задачи в связи с курсом Российской Федерации на модернизацию экономики. </w:t>
      </w:r>
      <w:r>
        <w:rPr>
          <w:rFonts w:ascii="Times New Roman" w:hAnsi="Times New Roman"/>
          <w:sz w:val="28"/>
          <w:szCs w:val="28"/>
        </w:rPr>
        <w:t>В сценарии инновационного развития, помимо явно обозначенной задачи развития ГЧП, предусмотрено решение следующих, тесно связанных с реализацией ГЧП задач</w:t>
      </w:r>
      <w:r w:rsidR="008C794E">
        <w:rPr>
          <w:rFonts w:ascii="Times New Roman" w:hAnsi="Times New Roman"/>
          <w:sz w:val="28"/>
          <w:szCs w:val="28"/>
        </w:rPr>
        <w:t xml:space="preserve">, </w:t>
      </w:r>
      <w:r w:rsidR="007C67E6">
        <w:rPr>
          <w:rFonts w:ascii="Times New Roman" w:hAnsi="Times New Roman"/>
          <w:sz w:val="28"/>
          <w:szCs w:val="28"/>
        </w:rPr>
        <w:t>например</w:t>
      </w:r>
      <w:r w:rsidR="008C794E">
        <w:rPr>
          <w:rFonts w:ascii="Times New Roman" w:hAnsi="Times New Roman"/>
          <w:sz w:val="28"/>
          <w:szCs w:val="28"/>
        </w:rPr>
        <w:t>:</w:t>
      </w:r>
    </w:p>
    <w:p w:rsidR="008C794E" w:rsidRPr="00D70043" w:rsidRDefault="00D70043" w:rsidP="00D700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70043">
        <w:rPr>
          <w:rFonts w:ascii="Times New Roman" w:hAnsi="Times New Roman"/>
          <w:sz w:val="28"/>
          <w:szCs w:val="28"/>
        </w:rPr>
        <w:t>оздание эффективной национальной инновационной системы и развертывание долгосрочных программ и проектов, обеспечивающих лидирующие позиции России на рынках высокотехнологичных товаров и услуг;</w:t>
      </w:r>
    </w:p>
    <w:p w:rsidR="00D70043" w:rsidRPr="00D70043" w:rsidRDefault="00D70043" w:rsidP="00D700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D70043">
        <w:rPr>
          <w:rFonts w:ascii="Times New Roman" w:hAnsi="Times New Roman"/>
          <w:sz w:val="28"/>
          <w:szCs w:val="28"/>
        </w:rPr>
        <w:t>лубокая модернизация социальной инфраструктуры, включая образование, здравоохранение, жилищный сектор, обеспечивающая значительное повышение качества человеческого капитала и стандартов жизни населения;</w:t>
      </w:r>
    </w:p>
    <w:p w:rsidR="00D70043" w:rsidRPr="00D70043" w:rsidRDefault="00D70043" w:rsidP="00D700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70043">
        <w:rPr>
          <w:rFonts w:ascii="Times New Roman" w:hAnsi="Times New Roman"/>
          <w:sz w:val="28"/>
          <w:szCs w:val="28"/>
        </w:rPr>
        <w:t xml:space="preserve">скоренное развитие экономических институтов, определяющих защиту прав собственности, усиление </w:t>
      </w:r>
      <w:proofErr w:type="spellStart"/>
      <w:r w:rsidRPr="00D70043">
        <w:rPr>
          <w:rFonts w:ascii="Times New Roman" w:hAnsi="Times New Roman"/>
          <w:sz w:val="28"/>
          <w:szCs w:val="28"/>
        </w:rPr>
        <w:t>конкурентности</w:t>
      </w:r>
      <w:proofErr w:type="spellEnd"/>
      <w:r w:rsidRPr="00D70043">
        <w:rPr>
          <w:rFonts w:ascii="Times New Roman" w:hAnsi="Times New Roman"/>
          <w:sz w:val="28"/>
          <w:szCs w:val="28"/>
        </w:rPr>
        <w:t xml:space="preserve"> рынков;</w:t>
      </w:r>
    </w:p>
    <w:p w:rsidR="00D70043" w:rsidRPr="00D70043" w:rsidRDefault="00D70043" w:rsidP="00D700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70043">
        <w:rPr>
          <w:rFonts w:ascii="Times New Roman" w:hAnsi="Times New Roman"/>
          <w:sz w:val="28"/>
          <w:szCs w:val="28"/>
        </w:rPr>
        <w:t>нижение инвестиционных и предпринимательских рисков;</w:t>
      </w:r>
    </w:p>
    <w:p w:rsidR="00D70043" w:rsidRPr="00D70043" w:rsidRDefault="00D70043" w:rsidP="00D700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70043">
        <w:rPr>
          <w:rFonts w:ascii="Times New Roman" w:hAnsi="Times New Roman"/>
          <w:sz w:val="28"/>
          <w:szCs w:val="28"/>
        </w:rPr>
        <w:t>нижение административных барьеров и повышение качества государственных услуг.</w:t>
      </w:r>
    </w:p>
    <w:p w:rsidR="001F24A1" w:rsidRDefault="009504E2" w:rsidP="009504E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«Концепции-2020»</w:t>
      </w:r>
      <w:r w:rsidR="007E7A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механизмы ГЧП должны повышать конкурентоспособность ведущих отраслей экономики, улучшая доступ отечественных компаний к долгосрочным инвестициям. </w:t>
      </w:r>
      <w:r w:rsidR="00232325">
        <w:rPr>
          <w:rFonts w:ascii="Times New Roman" w:hAnsi="Times New Roman"/>
          <w:sz w:val="28"/>
          <w:szCs w:val="28"/>
        </w:rPr>
        <w:t>Вместе с тем, с</w:t>
      </w:r>
      <w:r w:rsidR="001F24A1">
        <w:rPr>
          <w:rFonts w:ascii="Times New Roman" w:hAnsi="Times New Roman"/>
          <w:sz w:val="28"/>
          <w:szCs w:val="28"/>
        </w:rPr>
        <w:t>уществует ряд объективных факторов, затрудняющих развитие проектов ГЧП в России</w:t>
      </w:r>
      <w:r w:rsidR="003F1B78">
        <w:rPr>
          <w:rFonts w:ascii="Times New Roman" w:hAnsi="Times New Roman"/>
          <w:sz w:val="28"/>
          <w:szCs w:val="28"/>
        </w:rPr>
        <w:t>. К</w:t>
      </w:r>
      <w:r w:rsidR="001F24A1">
        <w:rPr>
          <w:rFonts w:ascii="Times New Roman" w:hAnsi="Times New Roman"/>
          <w:sz w:val="28"/>
          <w:szCs w:val="28"/>
        </w:rPr>
        <w:t xml:space="preserve"> ним можно отнести:</w:t>
      </w:r>
    </w:p>
    <w:p w:rsidR="00AE32CF" w:rsidRDefault="00AE32CF" w:rsidP="00AE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законодательства, регулирующего взаимоотношения </w:t>
      </w:r>
      <w:r w:rsidR="007D4469">
        <w:rPr>
          <w:rFonts w:ascii="Times New Roman" w:hAnsi="Times New Roman"/>
          <w:sz w:val="28"/>
          <w:szCs w:val="28"/>
        </w:rPr>
        <w:t xml:space="preserve">партнерств </w:t>
      </w:r>
      <w:r>
        <w:rPr>
          <w:rFonts w:ascii="Times New Roman" w:hAnsi="Times New Roman"/>
          <w:sz w:val="28"/>
          <w:szCs w:val="28"/>
        </w:rPr>
        <w:t>в части ГЧП на федеральном уровне</w:t>
      </w:r>
      <w:r w:rsidR="00CB0F60">
        <w:rPr>
          <w:rFonts w:ascii="Times New Roman" w:hAnsi="Times New Roman"/>
          <w:sz w:val="28"/>
          <w:szCs w:val="28"/>
        </w:rPr>
        <w:t xml:space="preserve"> и ограничения</w:t>
      </w:r>
      <w:r w:rsidR="007D4469">
        <w:rPr>
          <w:rFonts w:ascii="Times New Roman" w:hAnsi="Times New Roman"/>
          <w:sz w:val="28"/>
          <w:szCs w:val="28"/>
        </w:rPr>
        <w:t>,</w:t>
      </w:r>
      <w:r w:rsidR="00CB0F60">
        <w:rPr>
          <w:rFonts w:ascii="Times New Roman" w:hAnsi="Times New Roman"/>
          <w:sz w:val="28"/>
          <w:szCs w:val="28"/>
        </w:rPr>
        <w:t xml:space="preserve"> налагаемые законодательством на </w:t>
      </w:r>
      <w:r w:rsidR="007D4469">
        <w:rPr>
          <w:rFonts w:ascii="Times New Roman" w:hAnsi="Times New Roman"/>
          <w:sz w:val="28"/>
          <w:szCs w:val="28"/>
        </w:rPr>
        <w:t xml:space="preserve">данную </w:t>
      </w:r>
      <w:r w:rsidR="00CB0F60">
        <w:rPr>
          <w:rFonts w:ascii="Times New Roman" w:hAnsi="Times New Roman"/>
          <w:sz w:val="28"/>
          <w:szCs w:val="28"/>
        </w:rPr>
        <w:t>форму сотрудничества</w:t>
      </w:r>
      <w:r>
        <w:rPr>
          <w:rFonts w:ascii="Times New Roman" w:hAnsi="Times New Roman"/>
          <w:sz w:val="28"/>
          <w:szCs w:val="28"/>
        </w:rPr>
        <w:t>;</w:t>
      </w:r>
    </w:p>
    <w:p w:rsidR="001F24A1" w:rsidRPr="00AE32CF" w:rsidRDefault="001F24A1" w:rsidP="00AE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32CF">
        <w:rPr>
          <w:rFonts w:ascii="Times New Roman" w:hAnsi="Times New Roman"/>
          <w:sz w:val="28"/>
          <w:szCs w:val="28"/>
        </w:rPr>
        <w:t>слабость правовой и судебной системы, проблемы исполнения судебных решений в России, правовой нигилизм в ряде субъектов Российской Федерации;</w:t>
      </w:r>
    </w:p>
    <w:p w:rsidR="001F24A1" w:rsidRDefault="001F24A1" w:rsidP="00AE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32CF">
        <w:rPr>
          <w:rFonts w:ascii="Times New Roman" w:hAnsi="Times New Roman"/>
          <w:sz w:val="28"/>
          <w:szCs w:val="28"/>
        </w:rPr>
        <w:t>высокие политические и макроэкономические риски;</w:t>
      </w:r>
    </w:p>
    <w:p w:rsidR="00CB0F60" w:rsidRPr="00AE32CF" w:rsidRDefault="00CB0F60" w:rsidP="00AE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ограниченность средств Российских инвесторов;</w:t>
      </w:r>
    </w:p>
    <w:p w:rsidR="001F24A1" w:rsidRPr="00AE32CF" w:rsidRDefault="001F24A1" w:rsidP="00AE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32CF">
        <w:rPr>
          <w:rFonts w:ascii="Times New Roman" w:hAnsi="Times New Roman"/>
          <w:sz w:val="28"/>
          <w:szCs w:val="28"/>
        </w:rPr>
        <w:t xml:space="preserve">недостаточность существующих механизмов </w:t>
      </w:r>
      <w:r w:rsidR="00AE32CF" w:rsidRPr="00AE32CF">
        <w:rPr>
          <w:rFonts w:ascii="Times New Roman" w:hAnsi="Times New Roman"/>
          <w:sz w:val="28"/>
          <w:szCs w:val="28"/>
        </w:rPr>
        <w:t xml:space="preserve">государственной поддержки </w:t>
      </w:r>
      <w:r w:rsidR="007D4469">
        <w:rPr>
          <w:rFonts w:ascii="Times New Roman" w:hAnsi="Times New Roman"/>
          <w:sz w:val="28"/>
          <w:szCs w:val="28"/>
        </w:rPr>
        <w:t xml:space="preserve">проектов </w:t>
      </w:r>
      <w:r w:rsidR="00AE32CF" w:rsidRPr="00AE32CF">
        <w:rPr>
          <w:rFonts w:ascii="Times New Roman" w:hAnsi="Times New Roman"/>
          <w:sz w:val="28"/>
          <w:szCs w:val="28"/>
        </w:rPr>
        <w:t>ГЧП;</w:t>
      </w:r>
    </w:p>
    <w:p w:rsidR="00AE32CF" w:rsidRDefault="00AE32CF" w:rsidP="00AE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32CF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возможности </w:t>
      </w:r>
      <w:r w:rsidR="007D4469">
        <w:rPr>
          <w:rFonts w:ascii="Times New Roman" w:hAnsi="Times New Roman"/>
          <w:sz w:val="28"/>
          <w:szCs w:val="28"/>
        </w:rPr>
        <w:t xml:space="preserve">досрочного </w:t>
      </w:r>
      <w:r w:rsidR="009504E2">
        <w:rPr>
          <w:rFonts w:ascii="Times New Roman" w:hAnsi="Times New Roman"/>
          <w:sz w:val="28"/>
          <w:szCs w:val="28"/>
        </w:rPr>
        <w:t>вы</w:t>
      </w:r>
      <w:r w:rsidR="00CB0F60">
        <w:rPr>
          <w:rFonts w:ascii="Times New Roman" w:hAnsi="Times New Roman"/>
          <w:sz w:val="28"/>
          <w:szCs w:val="28"/>
        </w:rPr>
        <w:t>хода из неэффективных проектов;</w:t>
      </w:r>
    </w:p>
    <w:p w:rsidR="00CB0F60" w:rsidRPr="00AE32CF" w:rsidRDefault="00CB0F60" w:rsidP="00AE32C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невозможность заключени</w:t>
      </w:r>
      <w:r w:rsidR="007D446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соглашений </w:t>
      </w:r>
      <w:r w:rsidR="007D446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ГЧП без прохождения многочисленных процедур согласования</w:t>
      </w:r>
      <w:r w:rsidR="007D4469">
        <w:rPr>
          <w:rFonts w:ascii="Times New Roman" w:hAnsi="Times New Roman"/>
          <w:sz w:val="28"/>
          <w:szCs w:val="28"/>
        </w:rPr>
        <w:t xml:space="preserve"> в различных инстанциях</w:t>
      </w:r>
      <w:r>
        <w:rPr>
          <w:rFonts w:ascii="Times New Roman" w:hAnsi="Times New Roman"/>
          <w:sz w:val="28"/>
          <w:szCs w:val="28"/>
        </w:rPr>
        <w:t>, т.е. отсут</w:t>
      </w:r>
      <w:r w:rsidR="00A17130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вие принципа «</w:t>
      </w:r>
      <w:r w:rsidR="007D4469">
        <w:rPr>
          <w:rFonts w:ascii="Times New Roman" w:hAnsi="Times New Roman"/>
          <w:sz w:val="28"/>
          <w:szCs w:val="28"/>
        </w:rPr>
        <w:t xml:space="preserve">одного </w:t>
      </w:r>
      <w:r>
        <w:rPr>
          <w:rFonts w:ascii="Times New Roman" w:hAnsi="Times New Roman"/>
          <w:sz w:val="28"/>
          <w:szCs w:val="28"/>
        </w:rPr>
        <w:t>окна».</w:t>
      </w:r>
    </w:p>
    <w:p w:rsidR="009504E2" w:rsidRPr="003F1B78" w:rsidRDefault="003F1B78" w:rsidP="003F1B7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Крайне важно предусмотреть четко работающий и прозрачный механизм включения в государственно-частное партнерство по созданию инфраструктуры связи небольших перспективных компаний сектора. Это принципиальный момент, отмеченный еще </w:t>
      </w:r>
      <w:proofErr w:type="spellStart"/>
      <w:r>
        <w:rPr>
          <w:rFonts w:ascii="Times New Roman" w:hAnsi="Times New Roman"/>
          <w:sz w:val="28"/>
          <w:szCs w:val="28"/>
        </w:rPr>
        <w:t>Г.Минцбергом</w:t>
      </w:r>
      <w:proofErr w:type="spellEnd"/>
      <w:r>
        <w:rPr>
          <w:rFonts w:ascii="Times New Roman" w:hAnsi="Times New Roman"/>
          <w:sz w:val="28"/>
          <w:szCs w:val="28"/>
        </w:rPr>
        <w:t xml:space="preserve"> в отношении североамериканского рынка. Он указывал на «</w:t>
      </w:r>
      <w:r w:rsidRPr="003F1B78">
        <w:rPr>
          <w:rFonts w:ascii="Times New Roman" w:hAnsi="Times New Roman"/>
          <w:sz w:val="28"/>
          <w:szCs w:val="28"/>
        </w:rPr>
        <w:t xml:space="preserve">тенденцию к развитию взаимовыгодных отношений между крупными коммерческими и государственными организациями вне поля свободной конкуренции» как на одну из серьезных опасностей для полноценного развития экономики. «Многие приветствуют кооперацию крупных консорциумов в бизнесе и </w:t>
      </w:r>
      <w:proofErr w:type="spellStart"/>
      <w:r w:rsidRPr="003F1B78">
        <w:rPr>
          <w:rFonts w:ascii="Times New Roman" w:hAnsi="Times New Roman"/>
          <w:sz w:val="28"/>
          <w:szCs w:val="28"/>
        </w:rPr>
        <w:t>госуправлении</w:t>
      </w:r>
      <w:proofErr w:type="spellEnd"/>
      <w:r w:rsidRPr="003F1B78">
        <w:rPr>
          <w:rFonts w:ascii="Times New Roman" w:hAnsi="Times New Roman"/>
          <w:sz w:val="28"/>
          <w:szCs w:val="28"/>
        </w:rPr>
        <w:t xml:space="preserve"> - совместные предприятия всех мастей - и даже не задумываются о том, как это влияет на бюрократизацию, политизацию и конкуренцию. (А представьте себе, каково молодым активным компаниям, которые просто слишком малы, чтобы вступать в такие объединения!)»</w:t>
      </w:r>
      <w:r w:rsidRPr="003F1B78">
        <w:footnoteReference w:id="19"/>
      </w:r>
      <w:r w:rsidRPr="003F1B78">
        <w:rPr>
          <w:rFonts w:ascii="Times New Roman" w:hAnsi="Times New Roman"/>
          <w:sz w:val="28"/>
          <w:szCs w:val="28"/>
        </w:rPr>
        <w:t xml:space="preserve">. </w:t>
      </w:r>
    </w:p>
    <w:p w:rsidR="00AE32CF" w:rsidRPr="003F1B78" w:rsidRDefault="009504E2" w:rsidP="003F1B7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1B78">
        <w:rPr>
          <w:rFonts w:ascii="Times New Roman" w:hAnsi="Times New Roman"/>
          <w:sz w:val="28"/>
          <w:szCs w:val="28"/>
        </w:rPr>
        <w:t>Существует и ряд субъективных</w:t>
      </w:r>
      <w:r w:rsidR="000B7623" w:rsidRPr="003F1B78">
        <w:rPr>
          <w:rFonts w:ascii="Times New Roman" w:hAnsi="Times New Roman"/>
          <w:sz w:val="28"/>
          <w:szCs w:val="28"/>
        </w:rPr>
        <w:t xml:space="preserve"> факторов</w:t>
      </w:r>
      <w:r w:rsidRPr="003F1B78">
        <w:rPr>
          <w:rFonts w:ascii="Times New Roman" w:hAnsi="Times New Roman"/>
          <w:sz w:val="28"/>
          <w:szCs w:val="28"/>
        </w:rPr>
        <w:t xml:space="preserve">, </w:t>
      </w:r>
      <w:r w:rsidR="00AE32CF" w:rsidRPr="003F1B78">
        <w:rPr>
          <w:rFonts w:ascii="Times New Roman" w:hAnsi="Times New Roman"/>
          <w:sz w:val="28"/>
          <w:szCs w:val="28"/>
        </w:rPr>
        <w:t xml:space="preserve">затрудняющих развитие </w:t>
      </w:r>
      <w:r w:rsidR="003F1B78" w:rsidRPr="003F1B78">
        <w:rPr>
          <w:rFonts w:ascii="Times New Roman" w:hAnsi="Times New Roman"/>
          <w:sz w:val="28"/>
          <w:szCs w:val="28"/>
        </w:rPr>
        <w:t xml:space="preserve">в России </w:t>
      </w:r>
      <w:r w:rsidR="000B7623" w:rsidRPr="003F1B78">
        <w:rPr>
          <w:rFonts w:ascii="Times New Roman" w:hAnsi="Times New Roman"/>
          <w:sz w:val="28"/>
          <w:szCs w:val="28"/>
        </w:rPr>
        <w:t xml:space="preserve">проектов </w:t>
      </w:r>
      <w:r w:rsidR="00AE32CF" w:rsidRPr="003F1B78">
        <w:rPr>
          <w:rFonts w:ascii="Times New Roman" w:hAnsi="Times New Roman"/>
          <w:sz w:val="28"/>
          <w:szCs w:val="28"/>
        </w:rPr>
        <w:t>ГЧП</w:t>
      </w:r>
      <w:r w:rsidR="003F1B78" w:rsidRPr="003F1B78">
        <w:rPr>
          <w:rFonts w:ascii="Times New Roman" w:hAnsi="Times New Roman"/>
          <w:sz w:val="28"/>
          <w:szCs w:val="28"/>
        </w:rPr>
        <w:t xml:space="preserve"> в сфере инфраструктуры связи</w:t>
      </w:r>
      <w:r w:rsidR="000B7623" w:rsidRPr="003F1B78">
        <w:rPr>
          <w:rFonts w:ascii="Times New Roman" w:hAnsi="Times New Roman"/>
          <w:sz w:val="28"/>
          <w:szCs w:val="28"/>
        </w:rPr>
        <w:t>. П</w:t>
      </w:r>
      <w:r w:rsidRPr="003F1B78">
        <w:rPr>
          <w:rFonts w:ascii="Times New Roman" w:hAnsi="Times New Roman"/>
          <w:sz w:val="28"/>
          <w:szCs w:val="28"/>
        </w:rPr>
        <w:t>режде всего</w:t>
      </w:r>
      <w:r w:rsidR="003F1B78" w:rsidRPr="003F1B78">
        <w:rPr>
          <w:rFonts w:ascii="Times New Roman" w:hAnsi="Times New Roman"/>
          <w:sz w:val="28"/>
          <w:szCs w:val="28"/>
        </w:rPr>
        <w:t>,</w:t>
      </w:r>
      <w:r w:rsidRPr="003F1B78">
        <w:rPr>
          <w:rFonts w:ascii="Times New Roman" w:hAnsi="Times New Roman"/>
          <w:sz w:val="28"/>
          <w:szCs w:val="28"/>
        </w:rPr>
        <w:t xml:space="preserve"> к ним следует отнести:</w:t>
      </w:r>
    </w:p>
    <w:p w:rsidR="00AE32CF" w:rsidRPr="009504E2" w:rsidRDefault="00AE32CF" w:rsidP="009504E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4E2">
        <w:rPr>
          <w:rFonts w:ascii="Times New Roman" w:hAnsi="Times New Roman"/>
          <w:sz w:val="28"/>
          <w:szCs w:val="28"/>
        </w:rPr>
        <w:t>отсутствие т</w:t>
      </w:r>
      <w:r w:rsidR="000B7623">
        <w:rPr>
          <w:rFonts w:ascii="Times New Roman" w:hAnsi="Times New Roman"/>
          <w:sz w:val="28"/>
          <w:szCs w:val="28"/>
        </w:rPr>
        <w:t xml:space="preserve">ак </w:t>
      </w:r>
      <w:r w:rsidRPr="009504E2">
        <w:rPr>
          <w:rFonts w:ascii="Times New Roman" w:hAnsi="Times New Roman"/>
          <w:sz w:val="28"/>
          <w:szCs w:val="28"/>
        </w:rPr>
        <w:t>н</w:t>
      </w:r>
      <w:r w:rsidR="000B7623">
        <w:rPr>
          <w:rFonts w:ascii="Times New Roman" w:hAnsi="Times New Roman"/>
          <w:sz w:val="28"/>
          <w:szCs w:val="28"/>
        </w:rPr>
        <w:t>азываемой</w:t>
      </w:r>
      <w:r w:rsidRPr="009504E2">
        <w:rPr>
          <w:rFonts w:ascii="Times New Roman" w:hAnsi="Times New Roman"/>
          <w:sz w:val="28"/>
          <w:szCs w:val="28"/>
        </w:rPr>
        <w:t xml:space="preserve"> «истории успеха» (</w:t>
      </w:r>
      <w:r w:rsidRPr="009504E2">
        <w:rPr>
          <w:rFonts w:ascii="Times New Roman" w:hAnsi="Times New Roman"/>
          <w:sz w:val="28"/>
          <w:szCs w:val="28"/>
          <w:lang w:val="en-US"/>
        </w:rPr>
        <w:t>success</w:t>
      </w:r>
      <w:r w:rsidRPr="009504E2">
        <w:rPr>
          <w:rFonts w:ascii="Times New Roman" w:hAnsi="Times New Roman"/>
          <w:sz w:val="28"/>
          <w:szCs w:val="28"/>
        </w:rPr>
        <w:t xml:space="preserve"> </w:t>
      </w:r>
      <w:r w:rsidRPr="009504E2">
        <w:rPr>
          <w:rFonts w:ascii="Times New Roman" w:hAnsi="Times New Roman"/>
          <w:sz w:val="28"/>
          <w:szCs w:val="28"/>
          <w:lang w:val="en-US"/>
        </w:rPr>
        <w:t>story</w:t>
      </w:r>
      <w:r w:rsidRPr="009504E2">
        <w:rPr>
          <w:rFonts w:ascii="Times New Roman" w:hAnsi="Times New Roman"/>
          <w:sz w:val="28"/>
          <w:szCs w:val="28"/>
        </w:rPr>
        <w:t xml:space="preserve">); </w:t>
      </w:r>
    </w:p>
    <w:p w:rsidR="00AE32CF" w:rsidRPr="009504E2" w:rsidRDefault="00AE32CF" w:rsidP="009504E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4E2">
        <w:rPr>
          <w:rFonts w:ascii="Times New Roman" w:hAnsi="Times New Roman"/>
          <w:sz w:val="28"/>
          <w:szCs w:val="28"/>
        </w:rPr>
        <w:t>завышенные ожидания частных инвесторов к доходности</w:t>
      </w:r>
      <w:r w:rsidR="00B43DA0">
        <w:rPr>
          <w:rFonts w:ascii="Times New Roman" w:hAnsi="Times New Roman"/>
          <w:sz w:val="28"/>
          <w:szCs w:val="28"/>
        </w:rPr>
        <w:t xml:space="preserve"> проектов</w:t>
      </w:r>
      <w:r w:rsidRPr="009504E2">
        <w:rPr>
          <w:rFonts w:ascii="Times New Roman" w:hAnsi="Times New Roman"/>
          <w:sz w:val="28"/>
          <w:szCs w:val="28"/>
        </w:rPr>
        <w:t xml:space="preserve"> ГЧП, стремление рассматривать</w:t>
      </w:r>
      <w:r w:rsidR="00B43DA0">
        <w:rPr>
          <w:rFonts w:ascii="Times New Roman" w:hAnsi="Times New Roman"/>
          <w:sz w:val="28"/>
          <w:szCs w:val="28"/>
        </w:rPr>
        <w:t xml:space="preserve"> проекты</w:t>
      </w:r>
      <w:r w:rsidRPr="009504E2">
        <w:rPr>
          <w:rFonts w:ascii="Times New Roman" w:hAnsi="Times New Roman"/>
          <w:sz w:val="28"/>
          <w:szCs w:val="28"/>
        </w:rPr>
        <w:t xml:space="preserve"> ГЧП как форму </w:t>
      </w:r>
      <w:proofErr w:type="spellStart"/>
      <w:r w:rsidRPr="009504E2">
        <w:rPr>
          <w:rFonts w:ascii="Times New Roman" w:hAnsi="Times New Roman"/>
          <w:sz w:val="28"/>
          <w:szCs w:val="28"/>
        </w:rPr>
        <w:t>квази</w:t>
      </w:r>
      <w:proofErr w:type="spellEnd"/>
      <w:r w:rsidRPr="009504E2">
        <w:rPr>
          <w:rFonts w:ascii="Times New Roman" w:hAnsi="Times New Roman"/>
          <w:sz w:val="28"/>
          <w:szCs w:val="28"/>
        </w:rPr>
        <w:t>-приватизационных сделок;</w:t>
      </w:r>
    </w:p>
    <w:p w:rsidR="00AE32CF" w:rsidRPr="009504E2" w:rsidRDefault="00AE32CF" w:rsidP="009504E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4E2">
        <w:rPr>
          <w:rFonts w:ascii="Times New Roman" w:hAnsi="Times New Roman"/>
          <w:sz w:val="28"/>
          <w:szCs w:val="28"/>
        </w:rPr>
        <w:t xml:space="preserve">низкий уровень доверия </w:t>
      </w:r>
      <w:r w:rsidR="000B0FD8">
        <w:rPr>
          <w:rFonts w:ascii="Times New Roman" w:hAnsi="Times New Roman"/>
          <w:sz w:val="28"/>
          <w:szCs w:val="28"/>
        </w:rPr>
        <w:t xml:space="preserve">как </w:t>
      </w:r>
      <w:r w:rsidRPr="009504E2">
        <w:rPr>
          <w:rFonts w:ascii="Times New Roman" w:hAnsi="Times New Roman"/>
          <w:sz w:val="28"/>
          <w:szCs w:val="28"/>
        </w:rPr>
        <w:t xml:space="preserve">в обществе </w:t>
      </w:r>
      <w:r w:rsidR="000B0FD8">
        <w:rPr>
          <w:rFonts w:ascii="Times New Roman" w:hAnsi="Times New Roman"/>
          <w:sz w:val="28"/>
          <w:szCs w:val="28"/>
        </w:rPr>
        <w:t xml:space="preserve">в целом, так </w:t>
      </w:r>
      <w:r w:rsidRPr="009504E2">
        <w:rPr>
          <w:rFonts w:ascii="Times New Roman" w:hAnsi="Times New Roman"/>
          <w:sz w:val="28"/>
          <w:szCs w:val="28"/>
        </w:rPr>
        <w:t>и между потенциа</w:t>
      </w:r>
      <w:r w:rsidR="00061FEC">
        <w:rPr>
          <w:rFonts w:ascii="Times New Roman" w:hAnsi="Times New Roman"/>
          <w:sz w:val="28"/>
          <w:szCs w:val="28"/>
        </w:rPr>
        <w:t xml:space="preserve">льными участниками </w:t>
      </w:r>
      <w:r w:rsidR="000B0FD8">
        <w:rPr>
          <w:rFonts w:ascii="Times New Roman" w:hAnsi="Times New Roman"/>
          <w:sz w:val="28"/>
          <w:szCs w:val="28"/>
        </w:rPr>
        <w:t xml:space="preserve">проектов </w:t>
      </w:r>
      <w:r w:rsidR="00061FEC">
        <w:rPr>
          <w:rFonts w:ascii="Times New Roman" w:hAnsi="Times New Roman"/>
          <w:sz w:val="28"/>
          <w:szCs w:val="28"/>
        </w:rPr>
        <w:t>ГЧП.</w:t>
      </w:r>
    </w:p>
    <w:p w:rsidR="00AE32CF" w:rsidRDefault="00EF124D" w:rsidP="003F1B7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</w:t>
      </w:r>
      <w:r w:rsidR="00520291">
        <w:rPr>
          <w:rFonts w:ascii="Times New Roman" w:hAnsi="Times New Roman"/>
          <w:sz w:val="28"/>
          <w:szCs w:val="28"/>
        </w:rPr>
        <w:t xml:space="preserve">можно определить следующие направления развития </w:t>
      </w:r>
      <w:r w:rsidR="002B00A3">
        <w:rPr>
          <w:rFonts w:ascii="Times New Roman" w:hAnsi="Times New Roman"/>
          <w:sz w:val="28"/>
          <w:szCs w:val="28"/>
        </w:rPr>
        <w:t xml:space="preserve">и </w:t>
      </w:r>
      <w:r w:rsidR="00520291">
        <w:rPr>
          <w:rFonts w:ascii="Times New Roman" w:hAnsi="Times New Roman"/>
          <w:sz w:val="28"/>
          <w:szCs w:val="28"/>
        </w:rPr>
        <w:t>совершенствования механизмов ГЧП:</w:t>
      </w:r>
    </w:p>
    <w:p w:rsidR="00CA66BF" w:rsidRDefault="00CA66BF" w:rsidP="00CA66B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недостатков правового обеспечени</w:t>
      </w:r>
      <w:r w:rsidR="007D6C0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="00061FEC">
        <w:rPr>
          <w:rFonts w:ascii="Times New Roman" w:hAnsi="Times New Roman"/>
          <w:sz w:val="28"/>
          <w:szCs w:val="28"/>
        </w:rPr>
        <w:t>подготовка</w:t>
      </w:r>
      <w:r w:rsidR="00061FEC" w:rsidRPr="00061FEC">
        <w:rPr>
          <w:rFonts w:ascii="Times New Roman" w:hAnsi="Times New Roman"/>
          <w:sz w:val="28"/>
          <w:szCs w:val="28"/>
        </w:rPr>
        <w:t xml:space="preserve"> единого федерального закона о государственно-частном партнерстве (ГЧП)</w:t>
      </w:r>
      <w:r w:rsidR="00061FEC">
        <w:rPr>
          <w:rFonts w:ascii="Times New Roman" w:hAnsi="Times New Roman"/>
          <w:sz w:val="28"/>
          <w:szCs w:val="28"/>
        </w:rPr>
        <w:t>;</w:t>
      </w:r>
    </w:p>
    <w:p w:rsidR="00061FEC" w:rsidRDefault="00061FEC" w:rsidP="00CA66BF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формального приоритета административных задач;</w:t>
      </w:r>
    </w:p>
    <w:p w:rsidR="00061FEC" w:rsidRDefault="00061FEC" w:rsidP="00061FE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установление прозрачных процедур расчета, оценки и отбора инвестиционных проектов; </w:t>
      </w:r>
    </w:p>
    <w:p w:rsidR="00540738" w:rsidRDefault="00061FEC" w:rsidP="00540738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0738">
        <w:rPr>
          <w:rFonts w:ascii="Times New Roman" w:hAnsi="Times New Roman"/>
          <w:sz w:val="28"/>
          <w:szCs w:val="28"/>
        </w:rPr>
        <w:t>внедрение идеологии ГЧП, популяризация социальных выгод и преимуществ;</w:t>
      </w:r>
    </w:p>
    <w:p w:rsidR="00793F2F" w:rsidRPr="00540738" w:rsidRDefault="00061FEC" w:rsidP="00540738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0738">
        <w:rPr>
          <w:rFonts w:ascii="Times New Roman" w:hAnsi="Times New Roman"/>
          <w:sz w:val="28"/>
          <w:szCs w:val="28"/>
        </w:rPr>
        <w:t>внедрение механизмов независимого контроля;</w:t>
      </w:r>
    </w:p>
    <w:p w:rsidR="00793F2F" w:rsidRDefault="00061FEC" w:rsidP="001C458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3F2F">
        <w:rPr>
          <w:rFonts w:ascii="Times New Roman" w:hAnsi="Times New Roman"/>
          <w:sz w:val="28"/>
          <w:szCs w:val="28"/>
        </w:rPr>
        <w:t xml:space="preserve">создание, уполномоченных на проведение и реализацию </w:t>
      </w:r>
      <w:r w:rsidR="007D6C0C" w:rsidRPr="00793F2F">
        <w:rPr>
          <w:rFonts w:ascii="Times New Roman" w:hAnsi="Times New Roman"/>
          <w:sz w:val="28"/>
          <w:szCs w:val="28"/>
        </w:rPr>
        <w:t xml:space="preserve">проектов </w:t>
      </w:r>
      <w:r w:rsidRPr="00793F2F">
        <w:rPr>
          <w:rFonts w:ascii="Times New Roman" w:hAnsi="Times New Roman"/>
          <w:sz w:val="28"/>
          <w:szCs w:val="28"/>
        </w:rPr>
        <w:t>ГЧП по региональному или отраслевому принципу</w:t>
      </w:r>
      <w:r w:rsidR="007D6C0C" w:rsidRPr="00793F2F">
        <w:rPr>
          <w:rFonts w:ascii="Times New Roman" w:hAnsi="Times New Roman"/>
          <w:sz w:val="28"/>
          <w:szCs w:val="28"/>
        </w:rPr>
        <w:t>;</w:t>
      </w:r>
    </w:p>
    <w:p w:rsidR="00061FEC" w:rsidRPr="00793F2F" w:rsidRDefault="007D6C0C" w:rsidP="001C458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3F2F">
        <w:rPr>
          <w:rFonts w:ascii="Times New Roman" w:hAnsi="Times New Roman"/>
          <w:sz w:val="28"/>
          <w:szCs w:val="28"/>
        </w:rPr>
        <w:t>в</w:t>
      </w:r>
      <w:r w:rsidR="00061FEC" w:rsidRPr="00793F2F">
        <w:rPr>
          <w:rFonts w:ascii="Times New Roman" w:hAnsi="Times New Roman"/>
          <w:sz w:val="28"/>
          <w:szCs w:val="28"/>
        </w:rPr>
        <w:t xml:space="preserve">ыделение </w:t>
      </w:r>
      <w:r w:rsidRPr="00793F2F">
        <w:rPr>
          <w:rFonts w:ascii="Times New Roman" w:hAnsi="Times New Roman"/>
          <w:sz w:val="28"/>
          <w:szCs w:val="28"/>
        </w:rPr>
        <w:t xml:space="preserve">специализированным государственным органам (агентствам) </w:t>
      </w:r>
      <w:r w:rsidR="00061FEC" w:rsidRPr="00793F2F">
        <w:rPr>
          <w:rFonts w:ascii="Times New Roman" w:hAnsi="Times New Roman"/>
          <w:sz w:val="28"/>
          <w:szCs w:val="28"/>
        </w:rPr>
        <w:t>государственных средств на долгосрочную перспективу</w:t>
      </w:r>
      <w:r w:rsidRPr="00793F2F">
        <w:rPr>
          <w:rFonts w:ascii="Times New Roman" w:hAnsi="Times New Roman"/>
          <w:sz w:val="28"/>
          <w:szCs w:val="28"/>
        </w:rPr>
        <w:t>, необходимых для</w:t>
      </w:r>
      <w:r w:rsidR="00061FEC" w:rsidRPr="00793F2F">
        <w:rPr>
          <w:rFonts w:ascii="Times New Roman" w:hAnsi="Times New Roman"/>
          <w:sz w:val="28"/>
          <w:szCs w:val="28"/>
        </w:rPr>
        <w:t xml:space="preserve"> реализаци</w:t>
      </w:r>
      <w:r w:rsidRPr="00793F2F">
        <w:rPr>
          <w:rFonts w:ascii="Times New Roman" w:hAnsi="Times New Roman"/>
          <w:sz w:val="28"/>
          <w:szCs w:val="28"/>
        </w:rPr>
        <w:t>и</w:t>
      </w:r>
      <w:r w:rsidR="00061FEC" w:rsidRPr="00793F2F">
        <w:rPr>
          <w:rFonts w:ascii="Times New Roman" w:hAnsi="Times New Roman"/>
          <w:sz w:val="28"/>
          <w:szCs w:val="28"/>
        </w:rPr>
        <w:t xml:space="preserve"> конкретных инвестиционных проектов в рамках ГЧП.</w:t>
      </w:r>
    </w:p>
    <w:p w:rsidR="00540738" w:rsidRDefault="00540738" w:rsidP="00195DB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A5FD0" w:rsidRPr="00195DB4" w:rsidRDefault="00195DB4" w:rsidP="00195DB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5DB4">
        <w:rPr>
          <w:rFonts w:ascii="Times New Roman" w:hAnsi="Times New Roman"/>
          <w:b/>
          <w:sz w:val="28"/>
          <w:szCs w:val="28"/>
        </w:rPr>
        <w:t>Заключение</w:t>
      </w:r>
    </w:p>
    <w:p w:rsidR="00AB47FC" w:rsidRDefault="00AB47FC" w:rsidP="00AB47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</w:t>
      </w:r>
      <w:r w:rsidRPr="00820FBA"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hAnsi="Times New Roman"/>
          <w:sz w:val="28"/>
          <w:szCs w:val="28"/>
        </w:rPr>
        <w:t xml:space="preserve">проблем в экономике современной России является обеспечение </w:t>
      </w:r>
      <w:r w:rsidRPr="00820FBA">
        <w:rPr>
          <w:rFonts w:ascii="Times New Roman" w:hAnsi="Times New Roman"/>
          <w:sz w:val="28"/>
          <w:szCs w:val="28"/>
        </w:rPr>
        <w:t xml:space="preserve">устаревание </w:t>
      </w:r>
      <w:r>
        <w:rPr>
          <w:rFonts w:ascii="Times New Roman" w:hAnsi="Times New Roman"/>
          <w:sz w:val="28"/>
          <w:szCs w:val="28"/>
        </w:rPr>
        <w:t>базовых</w:t>
      </w:r>
      <w:r w:rsidRPr="00820FBA">
        <w:rPr>
          <w:rFonts w:ascii="Times New Roman" w:hAnsi="Times New Roman"/>
          <w:sz w:val="28"/>
          <w:szCs w:val="28"/>
        </w:rPr>
        <w:t xml:space="preserve"> объектов инфраструктуры</w:t>
      </w:r>
      <w:r>
        <w:rPr>
          <w:rFonts w:ascii="Times New Roman" w:hAnsi="Times New Roman"/>
          <w:sz w:val="28"/>
          <w:szCs w:val="28"/>
        </w:rPr>
        <w:t xml:space="preserve">, необходимых для </w:t>
      </w:r>
      <w:r w:rsidRPr="00820FBA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я</w:t>
      </w:r>
      <w:r w:rsidRPr="00820FBA">
        <w:rPr>
          <w:rFonts w:ascii="Times New Roman" w:hAnsi="Times New Roman"/>
          <w:sz w:val="28"/>
          <w:szCs w:val="28"/>
        </w:rPr>
        <w:t xml:space="preserve"> инновационных отраслей экономики. </w:t>
      </w:r>
      <w:r>
        <w:rPr>
          <w:rFonts w:ascii="Times New Roman" w:hAnsi="Times New Roman"/>
          <w:sz w:val="28"/>
          <w:szCs w:val="28"/>
        </w:rPr>
        <w:t xml:space="preserve">Эта тенденция является следствием ограниченных </w:t>
      </w:r>
      <w:r w:rsidRPr="00820FBA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 xml:space="preserve">енных </w:t>
      </w:r>
      <w:r w:rsidRPr="00820FBA">
        <w:rPr>
          <w:rFonts w:ascii="Times New Roman" w:hAnsi="Times New Roman"/>
          <w:sz w:val="28"/>
          <w:szCs w:val="28"/>
        </w:rPr>
        <w:t xml:space="preserve">инвестиций в инфраструктурную сферу </w:t>
      </w:r>
      <w:r>
        <w:rPr>
          <w:rFonts w:ascii="Times New Roman" w:hAnsi="Times New Roman"/>
          <w:sz w:val="28"/>
          <w:szCs w:val="28"/>
        </w:rPr>
        <w:t xml:space="preserve">и их нерациональным распределением, с одной стороны, и </w:t>
      </w:r>
      <w:r w:rsidR="00192F51">
        <w:rPr>
          <w:rFonts w:ascii="Times New Roman" w:hAnsi="Times New Roman"/>
          <w:sz w:val="28"/>
          <w:szCs w:val="28"/>
        </w:rPr>
        <w:t>инвестиционной пассивностью российского бизнеса в условиях высоких рисков и нестабильности институциональной среды.</w:t>
      </w:r>
    </w:p>
    <w:p w:rsidR="009627A1" w:rsidRDefault="00192F51" w:rsidP="009627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Соответствующие тенденции проявляются в полной мере и в отношении инфраструктуры связи. Несмотря на очевидные успехи в отдельных сегментах, касающихся, в частности, </w:t>
      </w:r>
      <w:r w:rsidR="009627A1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27A1">
        <w:rPr>
          <w:rFonts w:ascii="Times New Roman" w:hAnsi="Times New Roman"/>
          <w:sz w:val="28"/>
          <w:szCs w:val="28"/>
        </w:rPr>
        <w:t>линий волоконно-оптической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627A1">
        <w:rPr>
          <w:rFonts w:ascii="Times New Roman" w:hAnsi="Times New Roman"/>
          <w:sz w:val="28"/>
          <w:szCs w:val="28"/>
        </w:rPr>
        <w:t xml:space="preserve">связи </w:t>
      </w:r>
      <w:r>
        <w:rPr>
          <w:rFonts w:ascii="Times New Roman" w:hAnsi="Times New Roman"/>
          <w:sz w:val="28"/>
          <w:szCs w:val="28"/>
        </w:rPr>
        <w:t xml:space="preserve">и </w:t>
      </w:r>
      <w:r w:rsidR="009627A1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27A1">
        <w:rPr>
          <w:rFonts w:ascii="Times New Roman" w:hAnsi="Times New Roman"/>
          <w:sz w:val="28"/>
          <w:szCs w:val="28"/>
        </w:rPr>
        <w:t>широкополосного доступа связи населению, многие п</w:t>
      </w:r>
      <w:r w:rsidR="009627A1" w:rsidRPr="00820FBA">
        <w:rPr>
          <w:rFonts w:ascii="Times New Roman" w:hAnsi="Times New Roman"/>
          <w:sz w:val="28"/>
          <w:szCs w:val="28"/>
        </w:rPr>
        <w:t>ерспективны</w:t>
      </w:r>
      <w:r w:rsidR="009627A1">
        <w:rPr>
          <w:rFonts w:ascii="Times New Roman" w:hAnsi="Times New Roman"/>
          <w:sz w:val="28"/>
          <w:szCs w:val="28"/>
        </w:rPr>
        <w:t>е</w:t>
      </w:r>
      <w:r w:rsidR="009627A1" w:rsidRPr="00820FBA">
        <w:rPr>
          <w:rFonts w:ascii="Times New Roman" w:hAnsi="Times New Roman"/>
          <w:sz w:val="28"/>
          <w:szCs w:val="28"/>
        </w:rPr>
        <w:t xml:space="preserve"> направления развития инфраструктуры связи</w:t>
      </w:r>
      <w:r w:rsidR="009627A1">
        <w:rPr>
          <w:rFonts w:ascii="Times New Roman" w:hAnsi="Times New Roman"/>
          <w:sz w:val="28"/>
          <w:szCs w:val="28"/>
        </w:rPr>
        <w:t xml:space="preserve"> сталкиваются с проблемами, так как требуют </w:t>
      </w:r>
      <w:r w:rsidR="009627A1" w:rsidRPr="00820FBA">
        <w:rPr>
          <w:rFonts w:ascii="Times New Roman" w:hAnsi="Times New Roman"/>
          <w:sz w:val="28"/>
          <w:szCs w:val="28"/>
        </w:rPr>
        <w:t xml:space="preserve"> </w:t>
      </w:r>
      <w:r w:rsidR="009627A1">
        <w:rPr>
          <w:rFonts w:ascii="Times New Roman" w:hAnsi="Times New Roman"/>
          <w:sz w:val="28"/>
          <w:szCs w:val="28"/>
        </w:rPr>
        <w:t xml:space="preserve">большого </w:t>
      </w:r>
      <w:r w:rsidR="009627A1" w:rsidRPr="00820FBA">
        <w:rPr>
          <w:rFonts w:ascii="Times New Roman" w:hAnsi="Times New Roman"/>
          <w:sz w:val="28"/>
          <w:szCs w:val="28"/>
        </w:rPr>
        <w:t>объем</w:t>
      </w:r>
      <w:r w:rsidR="009627A1">
        <w:rPr>
          <w:rFonts w:ascii="Times New Roman" w:hAnsi="Times New Roman"/>
          <w:sz w:val="28"/>
          <w:szCs w:val="28"/>
        </w:rPr>
        <w:t>а</w:t>
      </w:r>
      <w:r w:rsidR="009627A1" w:rsidRPr="00820FBA">
        <w:rPr>
          <w:rFonts w:ascii="Times New Roman" w:hAnsi="Times New Roman"/>
          <w:sz w:val="28"/>
          <w:szCs w:val="28"/>
        </w:rPr>
        <w:t xml:space="preserve"> первоначальных капитальных вложений</w:t>
      </w:r>
      <w:r w:rsidR="009627A1">
        <w:rPr>
          <w:rFonts w:ascii="Times New Roman" w:hAnsi="Times New Roman"/>
          <w:sz w:val="28"/>
          <w:szCs w:val="28"/>
        </w:rPr>
        <w:t xml:space="preserve"> и связаны с</w:t>
      </w:r>
      <w:r w:rsidR="009627A1" w:rsidRPr="00820FBA">
        <w:rPr>
          <w:rFonts w:ascii="Times New Roman" w:hAnsi="Times New Roman"/>
          <w:sz w:val="28"/>
          <w:szCs w:val="28"/>
        </w:rPr>
        <w:t xml:space="preserve"> </w:t>
      </w:r>
      <w:r w:rsidR="009627A1">
        <w:rPr>
          <w:rFonts w:ascii="Times New Roman" w:hAnsi="Times New Roman"/>
          <w:sz w:val="28"/>
          <w:szCs w:val="28"/>
        </w:rPr>
        <w:t>длительными сроками окупаемости</w:t>
      </w:r>
      <w:r w:rsidR="009627A1" w:rsidRPr="00820FBA">
        <w:rPr>
          <w:rFonts w:ascii="Times New Roman" w:hAnsi="Times New Roman"/>
          <w:sz w:val="28"/>
          <w:szCs w:val="28"/>
        </w:rPr>
        <w:t xml:space="preserve"> и </w:t>
      </w:r>
      <w:r w:rsidR="009627A1">
        <w:rPr>
          <w:rFonts w:ascii="Times New Roman" w:hAnsi="Times New Roman"/>
          <w:sz w:val="28"/>
          <w:szCs w:val="28"/>
        </w:rPr>
        <w:t>высокими</w:t>
      </w:r>
      <w:r w:rsidR="009627A1" w:rsidRPr="00820FBA">
        <w:rPr>
          <w:rFonts w:ascii="Times New Roman" w:hAnsi="Times New Roman"/>
          <w:sz w:val="28"/>
          <w:szCs w:val="28"/>
        </w:rPr>
        <w:t xml:space="preserve"> рисками</w:t>
      </w:r>
      <w:r w:rsidR="009627A1">
        <w:rPr>
          <w:rFonts w:ascii="Times New Roman" w:hAnsi="Times New Roman"/>
          <w:sz w:val="28"/>
          <w:szCs w:val="28"/>
        </w:rPr>
        <w:t xml:space="preserve">. С точки зрения </w:t>
      </w:r>
      <w:r w:rsidR="00AB47FC" w:rsidRPr="00820FBA">
        <w:rPr>
          <w:rFonts w:ascii="Times New Roman" w:hAnsi="Times New Roman"/>
          <w:sz w:val="28"/>
          <w:szCs w:val="28"/>
        </w:rPr>
        <w:t>развити</w:t>
      </w:r>
      <w:r w:rsidR="009627A1">
        <w:rPr>
          <w:rFonts w:ascii="Times New Roman" w:hAnsi="Times New Roman"/>
          <w:sz w:val="28"/>
          <w:szCs w:val="28"/>
        </w:rPr>
        <w:t>я</w:t>
      </w:r>
      <w:r w:rsidR="00AB47FC" w:rsidRPr="00820FBA">
        <w:rPr>
          <w:rFonts w:ascii="Times New Roman" w:hAnsi="Times New Roman"/>
          <w:sz w:val="28"/>
          <w:szCs w:val="28"/>
        </w:rPr>
        <w:t xml:space="preserve"> инфраструктуры </w:t>
      </w:r>
      <w:r w:rsidR="009627A1">
        <w:rPr>
          <w:rFonts w:ascii="Times New Roman" w:hAnsi="Times New Roman"/>
          <w:sz w:val="28"/>
          <w:szCs w:val="28"/>
        </w:rPr>
        <w:t xml:space="preserve">связи как </w:t>
      </w:r>
      <w:r w:rsidR="00AB47FC" w:rsidRPr="00820FBA">
        <w:rPr>
          <w:rFonts w:ascii="Times New Roman" w:hAnsi="Times New Roman"/>
          <w:sz w:val="28"/>
          <w:szCs w:val="28"/>
        </w:rPr>
        <w:t>базовой составляющей промышленности</w:t>
      </w:r>
      <w:r w:rsidR="009627A1" w:rsidRPr="009627A1">
        <w:rPr>
          <w:rFonts w:ascii="Times New Roman" w:hAnsi="Times New Roman"/>
          <w:sz w:val="28"/>
          <w:szCs w:val="28"/>
        </w:rPr>
        <w:t xml:space="preserve"> </w:t>
      </w:r>
      <w:r w:rsidR="009627A1">
        <w:rPr>
          <w:rFonts w:ascii="Times New Roman" w:hAnsi="Times New Roman"/>
          <w:sz w:val="28"/>
          <w:szCs w:val="28"/>
        </w:rPr>
        <w:t xml:space="preserve">ситуация близка </w:t>
      </w:r>
      <w:proofErr w:type="gramStart"/>
      <w:r w:rsidR="009627A1">
        <w:rPr>
          <w:rFonts w:ascii="Times New Roman" w:hAnsi="Times New Roman"/>
          <w:sz w:val="28"/>
          <w:szCs w:val="28"/>
        </w:rPr>
        <w:t>к</w:t>
      </w:r>
      <w:proofErr w:type="gramEnd"/>
      <w:r w:rsidR="009627A1">
        <w:rPr>
          <w:rFonts w:ascii="Times New Roman" w:hAnsi="Times New Roman"/>
          <w:sz w:val="28"/>
          <w:szCs w:val="28"/>
        </w:rPr>
        <w:t xml:space="preserve"> критической.</w:t>
      </w:r>
    </w:p>
    <w:p w:rsidR="009627A1" w:rsidRDefault="00660793" w:rsidP="009627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="00EE249B">
        <w:rPr>
          <w:rFonts w:ascii="Times New Roman" w:hAnsi="Times New Roman"/>
          <w:sz w:val="28"/>
          <w:szCs w:val="28"/>
        </w:rPr>
        <w:t>многие из п</w:t>
      </w:r>
      <w:r w:rsidR="009627A1" w:rsidRPr="00820FBA">
        <w:rPr>
          <w:rFonts w:ascii="Times New Roman" w:hAnsi="Times New Roman"/>
          <w:sz w:val="28"/>
          <w:szCs w:val="28"/>
        </w:rPr>
        <w:t>оставленн</w:t>
      </w:r>
      <w:r w:rsidR="00EE249B">
        <w:rPr>
          <w:rFonts w:ascii="Times New Roman" w:hAnsi="Times New Roman"/>
          <w:sz w:val="28"/>
          <w:szCs w:val="28"/>
        </w:rPr>
        <w:t>ых в этой сфере за</w:t>
      </w:r>
      <w:r w:rsidR="009627A1" w:rsidRPr="00820FBA">
        <w:rPr>
          <w:rFonts w:ascii="Times New Roman" w:hAnsi="Times New Roman"/>
          <w:sz w:val="28"/>
          <w:szCs w:val="28"/>
        </w:rPr>
        <w:t xml:space="preserve">дач </w:t>
      </w:r>
      <w:r w:rsidR="00EE249B">
        <w:rPr>
          <w:rFonts w:ascii="Times New Roman" w:hAnsi="Times New Roman"/>
          <w:sz w:val="28"/>
          <w:szCs w:val="28"/>
        </w:rPr>
        <w:t>не могут быть решены в полной мере ни государством, ни бизнесом и требуют установления</w:t>
      </w:r>
      <w:r w:rsidR="009627A1" w:rsidRPr="00820FBA">
        <w:rPr>
          <w:rFonts w:ascii="Times New Roman" w:hAnsi="Times New Roman"/>
          <w:sz w:val="28"/>
          <w:szCs w:val="28"/>
        </w:rPr>
        <w:t xml:space="preserve"> долгосрочных взаимовыгодных отношений государства и бизнес</w:t>
      </w:r>
      <w:r w:rsidR="00EE249B">
        <w:rPr>
          <w:rFonts w:ascii="Times New Roman" w:hAnsi="Times New Roman"/>
          <w:sz w:val="28"/>
          <w:szCs w:val="28"/>
        </w:rPr>
        <w:t>а в рамках ГЧП</w:t>
      </w:r>
      <w:r w:rsidR="009627A1" w:rsidRPr="00820FBA">
        <w:rPr>
          <w:rFonts w:ascii="Times New Roman" w:hAnsi="Times New Roman"/>
          <w:sz w:val="28"/>
          <w:szCs w:val="28"/>
        </w:rPr>
        <w:t>.</w:t>
      </w:r>
    </w:p>
    <w:p w:rsidR="00195DB4" w:rsidRDefault="00195DB4" w:rsidP="009627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49B">
        <w:rPr>
          <w:rFonts w:ascii="Times New Roman" w:hAnsi="Times New Roman"/>
          <w:sz w:val="28"/>
          <w:szCs w:val="28"/>
        </w:rPr>
        <w:t xml:space="preserve">Наиболее эффективной формой ГЧП в сфере инфраструктуры связи следует признать концессии, однако их развитие в России тормозит ряд проблем. Прежде всего, это отсутствие механизма тарифного регулирования с контрактными требованиями, непрозрачность процедур из-за отсутствия установленного порядка подготовки концессионного соглашения, а также недостатки административного регулирования взаимоотношений концессионера и потребителей. </w:t>
      </w:r>
      <w:r w:rsidR="00660793">
        <w:rPr>
          <w:rFonts w:ascii="Times New Roman" w:hAnsi="Times New Roman"/>
          <w:sz w:val="28"/>
          <w:szCs w:val="28"/>
        </w:rPr>
        <w:t xml:space="preserve">Соответственно, ключевым является создание системы норм и правил, создающей благоприятную институциональную среду для развития концессий и других форм государственно-частного партнерства в области развития инфраструктуры связи в </w:t>
      </w:r>
      <w:r w:rsidR="009358DF">
        <w:rPr>
          <w:rFonts w:ascii="Times New Roman" w:hAnsi="Times New Roman"/>
          <w:sz w:val="28"/>
          <w:szCs w:val="28"/>
        </w:rPr>
        <w:t>Р</w:t>
      </w:r>
      <w:r w:rsidR="00660793">
        <w:rPr>
          <w:rFonts w:ascii="Times New Roman" w:hAnsi="Times New Roman"/>
          <w:sz w:val="28"/>
          <w:szCs w:val="28"/>
        </w:rPr>
        <w:t xml:space="preserve">оссийской Федерации. </w:t>
      </w:r>
      <w:r w:rsidR="009358DF">
        <w:rPr>
          <w:rFonts w:ascii="Times New Roman" w:hAnsi="Times New Roman"/>
          <w:sz w:val="28"/>
          <w:szCs w:val="28"/>
        </w:rPr>
        <w:t>Кроме того, необходима работа по обучению потенциальных участников проектов ГЧП базовым правилам осуществления такого рода проектов, с учетом существующего международного опыта.</w:t>
      </w:r>
    </w:p>
    <w:p w:rsidR="0052474C" w:rsidRDefault="0052474C" w:rsidP="005247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подчеркнем, что г</w:t>
      </w:r>
      <w:r w:rsidRPr="00820FBA">
        <w:rPr>
          <w:rFonts w:ascii="Times New Roman" w:hAnsi="Times New Roman"/>
          <w:sz w:val="28"/>
          <w:szCs w:val="28"/>
        </w:rPr>
        <w:t xml:space="preserve">лавной задачей </w:t>
      </w:r>
      <w:r>
        <w:rPr>
          <w:rFonts w:ascii="Times New Roman" w:hAnsi="Times New Roman"/>
          <w:sz w:val="28"/>
          <w:szCs w:val="28"/>
        </w:rPr>
        <w:t xml:space="preserve">при развитии ГЧП в области инфраструктуры связи </w:t>
      </w:r>
      <w:r w:rsidRPr="00820FBA">
        <w:rPr>
          <w:rFonts w:ascii="Times New Roman" w:hAnsi="Times New Roman"/>
          <w:sz w:val="28"/>
          <w:szCs w:val="28"/>
        </w:rPr>
        <w:t xml:space="preserve">является не развитие инфраструктуры как таковой, а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820FBA">
        <w:rPr>
          <w:rFonts w:ascii="Times New Roman" w:hAnsi="Times New Roman"/>
          <w:sz w:val="28"/>
          <w:szCs w:val="28"/>
        </w:rPr>
        <w:t xml:space="preserve">развитие как базовой составляющей промышленности, где продукция (услуга) инфраструктурных объектов связи будет пользоваться устойчивым спросом. </w:t>
      </w:r>
    </w:p>
    <w:p w:rsidR="0052474C" w:rsidRPr="00EE249B" w:rsidRDefault="0052474C" w:rsidP="009627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2474C" w:rsidRPr="00EE249B" w:rsidSect="00F77E1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F0" w:rsidRDefault="00F96BF0" w:rsidP="00A66D9A">
      <w:pPr>
        <w:spacing w:after="0" w:line="240" w:lineRule="auto"/>
      </w:pPr>
      <w:r>
        <w:separator/>
      </w:r>
    </w:p>
  </w:endnote>
  <w:endnote w:type="continuationSeparator" w:id="0">
    <w:p w:rsidR="00F96BF0" w:rsidRDefault="00F96BF0" w:rsidP="00A6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DD" w:rsidRDefault="008301E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271">
      <w:rPr>
        <w:noProof/>
      </w:rPr>
      <w:t>19</w:t>
    </w:r>
    <w:r>
      <w:fldChar w:fldCharType="end"/>
    </w:r>
  </w:p>
  <w:p w:rsidR="003358DD" w:rsidRDefault="003358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F0" w:rsidRDefault="00F96BF0" w:rsidP="00A66D9A">
      <w:pPr>
        <w:spacing w:after="0" w:line="240" w:lineRule="auto"/>
      </w:pPr>
      <w:r>
        <w:separator/>
      </w:r>
    </w:p>
  </w:footnote>
  <w:footnote w:type="continuationSeparator" w:id="0">
    <w:p w:rsidR="00F96BF0" w:rsidRDefault="00F96BF0" w:rsidP="00A66D9A">
      <w:pPr>
        <w:spacing w:after="0" w:line="240" w:lineRule="auto"/>
      </w:pPr>
      <w:r>
        <w:continuationSeparator/>
      </w:r>
    </w:p>
  </w:footnote>
  <w:footnote w:id="1">
    <w:p w:rsidR="0052474C" w:rsidRDefault="0052474C" w:rsidP="0052474C">
      <w:pPr>
        <w:pStyle w:val="a8"/>
      </w:pPr>
      <w:r>
        <w:rPr>
          <w:rStyle w:val="aa"/>
        </w:rPr>
        <w:footnoteRef/>
      </w:r>
      <w:r>
        <w:t xml:space="preserve"> </w:t>
      </w:r>
      <w:r w:rsidRPr="00B7698D">
        <w:t>http://www.ifap.ru/ofdocs/rus/rus006.pdf</w:t>
      </w:r>
    </w:p>
  </w:footnote>
  <w:footnote w:id="2">
    <w:p w:rsidR="0052474C" w:rsidRDefault="0052474C">
      <w:pPr>
        <w:pStyle w:val="a8"/>
      </w:pPr>
      <w:r>
        <w:rPr>
          <w:rStyle w:val="aa"/>
        </w:rPr>
        <w:footnoteRef/>
      </w:r>
      <w:r>
        <w:t xml:space="preserve"> </w:t>
      </w:r>
      <w:r w:rsidRPr="0052474C">
        <w:t>В данных оценках учитывается так называемая «центральная часть инфраструктуры» (”</w:t>
      </w:r>
      <w:proofErr w:type="spellStart"/>
      <w:r w:rsidRPr="0052474C">
        <w:t>core</w:t>
      </w:r>
      <w:proofErr w:type="spellEnd"/>
      <w:r w:rsidRPr="0052474C">
        <w:t xml:space="preserve"> </w:t>
      </w:r>
      <w:proofErr w:type="spellStart"/>
      <w:r w:rsidRPr="0052474C">
        <w:t>infrastructure</w:t>
      </w:r>
      <w:proofErr w:type="spellEnd"/>
      <w:r w:rsidRPr="0052474C">
        <w:t>”), куда обычно включают транспорт, электроэнергетику, коммунальную инфраструктуру и телекоммуникации</w:t>
      </w:r>
      <w:r>
        <w:t xml:space="preserve">. </w:t>
      </w:r>
    </w:p>
  </w:footnote>
  <w:footnote w:id="3">
    <w:p w:rsidR="0052474C" w:rsidRDefault="0052474C" w:rsidP="0052474C">
      <w:pPr>
        <w:spacing w:after="0"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6F5034">
        <w:rPr>
          <w:sz w:val="20"/>
          <w:szCs w:val="20"/>
        </w:rPr>
        <w:t>Дмитриев М. Развитие инфраструктуры как ядро новой модели экономического роста. Economy Times, 26 октября 2015. http://economytimes.ru/kurs-rulya/infrastruktura-rosta</w:t>
      </w:r>
    </w:p>
  </w:footnote>
  <w:footnote w:id="4">
    <w:p w:rsidR="0052474C" w:rsidRDefault="0052474C" w:rsidP="0052474C">
      <w:pPr>
        <w:spacing w:after="0" w:line="240" w:lineRule="auto"/>
        <w:jc w:val="both"/>
      </w:pPr>
      <w:r>
        <w:rPr>
          <w:rStyle w:val="aa"/>
        </w:rPr>
        <w:footnoteRef/>
      </w:r>
      <w:r>
        <w:t xml:space="preserve"> </w:t>
      </w:r>
      <w:r w:rsidRPr="0052474C">
        <w:rPr>
          <w:sz w:val="20"/>
          <w:szCs w:val="20"/>
        </w:rPr>
        <w:t xml:space="preserve">В «Концепции социально-экономического развития России до 2020 года» подчеркивается, что в развитии и обновлении инфраструктуры государство в существенной степени будет ориентироваться на частный капитал и на развитие механизмов </w:t>
      </w:r>
      <w:proofErr w:type="spellStart"/>
      <w:r w:rsidRPr="0052474C">
        <w:rPr>
          <w:sz w:val="20"/>
          <w:szCs w:val="20"/>
        </w:rPr>
        <w:t>частно</w:t>
      </w:r>
      <w:proofErr w:type="spellEnd"/>
      <w:r w:rsidRPr="0052474C">
        <w:rPr>
          <w:sz w:val="20"/>
          <w:szCs w:val="20"/>
        </w:rPr>
        <w:t>-государственного партнерства, включая разработку и реализацию важнейших инновационных проектов.</w:t>
      </w:r>
    </w:p>
  </w:footnote>
  <w:footnote w:id="5">
    <w:p w:rsidR="00FF29BB" w:rsidRPr="0052474C" w:rsidRDefault="00FF29BB" w:rsidP="00FF29BB">
      <w:pPr>
        <w:pStyle w:val="a8"/>
      </w:pPr>
      <w:r>
        <w:rPr>
          <w:rStyle w:val="aa"/>
        </w:rPr>
        <w:footnoteRef/>
      </w:r>
      <w:r w:rsidRPr="00FF29BB">
        <w:t xml:space="preserve"> </w:t>
      </w:r>
      <w:proofErr w:type="spellStart"/>
      <w:r>
        <w:t>Капканшиков</w:t>
      </w:r>
      <w:proofErr w:type="spellEnd"/>
      <w:r w:rsidRPr="00FF29BB">
        <w:t xml:space="preserve"> </w:t>
      </w:r>
      <w:r>
        <w:t>С</w:t>
      </w:r>
      <w:r w:rsidRPr="00FF29BB">
        <w:t>.</w:t>
      </w:r>
      <w:r>
        <w:t>Г</w:t>
      </w:r>
      <w:r w:rsidRPr="00FF29BB">
        <w:t xml:space="preserve">. </w:t>
      </w:r>
      <w:r>
        <w:t>Государственное</w:t>
      </w:r>
      <w:r w:rsidRPr="00FF29BB">
        <w:t xml:space="preserve"> </w:t>
      </w:r>
      <w:r>
        <w:t>регулирование</w:t>
      </w:r>
      <w:r w:rsidRPr="00FF29BB">
        <w:t xml:space="preserve"> </w:t>
      </w:r>
      <w:r>
        <w:t>экономики</w:t>
      </w:r>
      <w:r w:rsidRPr="00FF29BB">
        <w:t xml:space="preserve">.– </w:t>
      </w:r>
      <w:r>
        <w:t>М</w:t>
      </w:r>
      <w:r w:rsidRPr="0052474C">
        <w:t xml:space="preserve">.: </w:t>
      </w:r>
      <w:r>
        <w:t>КНОРУС</w:t>
      </w:r>
      <w:r w:rsidRPr="0052474C">
        <w:t xml:space="preserve">, 2009, </w:t>
      </w:r>
      <w:r>
        <w:t>стр</w:t>
      </w:r>
      <w:r w:rsidRPr="0052474C">
        <w:t>. 416.</w:t>
      </w:r>
    </w:p>
  </w:footnote>
  <w:footnote w:id="6">
    <w:p w:rsidR="00152B70" w:rsidRPr="00897CDA" w:rsidRDefault="00152B70" w:rsidP="00152B70">
      <w:pPr>
        <w:pStyle w:val="a8"/>
      </w:pPr>
      <w:r>
        <w:rPr>
          <w:rStyle w:val="aa"/>
        </w:rPr>
        <w:footnoteRef/>
      </w:r>
      <w:r w:rsidRPr="006F1F35">
        <w:rPr>
          <w:lang w:val="en-US"/>
        </w:rPr>
        <w:t xml:space="preserve"> </w:t>
      </w:r>
      <w:proofErr w:type="spellStart"/>
      <w:r w:rsidRPr="00EE519D">
        <w:t>Private</w:t>
      </w:r>
      <w:proofErr w:type="spellEnd"/>
      <w:r w:rsidRPr="00EE519D">
        <w:t xml:space="preserve"> </w:t>
      </w:r>
      <w:proofErr w:type="spellStart"/>
      <w:r w:rsidRPr="00EE519D">
        <w:t>sector</w:t>
      </w:r>
      <w:proofErr w:type="spellEnd"/>
      <w:r w:rsidRPr="00EE519D">
        <w:t xml:space="preserve"> </w:t>
      </w:r>
      <w:proofErr w:type="spellStart"/>
      <w:r w:rsidRPr="00EE519D">
        <w:t>Investment</w:t>
      </w:r>
      <w:proofErr w:type="spellEnd"/>
      <w:r w:rsidRPr="00EE519D">
        <w:t xml:space="preserve"> </w:t>
      </w:r>
      <w:proofErr w:type="spellStart"/>
      <w:r w:rsidRPr="00EE519D">
        <w:t>in</w:t>
      </w:r>
      <w:proofErr w:type="spellEnd"/>
      <w:r w:rsidRPr="00EE519D">
        <w:t xml:space="preserve"> </w:t>
      </w:r>
      <w:proofErr w:type="spellStart"/>
      <w:r w:rsidRPr="00EE519D">
        <w:t>Infrastructure</w:t>
      </w:r>
      <w:proofErr w:type="spellEnd"/>
      <w:r w:rsidRPr="00EE519D">
        <w:t xml:space="preserve">: </w:t>
      </w:r>
      <w:proofErr w:type="spellStart"/>
      <w:r w:rsidRPr="00EE519D">
        <w:t>Project</w:t>
      </w:r>
      <w:proofErr w:type="spellEnd"/>
      <w:r w:rsidRPr="00EE519D">
        <w:t xml:space="preserve"> </w:t>
      </w:r>
      <w:proofErr w:type="spellStart"/>
      <w:r w:rsidRPr="00EE519D">
        <w:t>Finance</w:t>
      </w:r>
      <w:proofErr w:type="spellEnd"/>
      <w:r w:rsidRPr="00EE519D">
        <w:t xml:space="preserve">, PPP </w:t>
      </w:r>
      <w:proofErr w:type="spellStart"/>
      <w:r w:rsidRPr="00EE519D">
        <w:t>Projects</w:t>
      </w:r>
      <w:proofErr w:type="spellEnd"/>
      <w:r w:rsidRPr="00EE519D">
        <w:t xml:space="preserve"> </w:t>
      </w:r>
      <w:proofErr w:type="spellStart"/>
      <w:r w:rsidRPr="00EE519D">
        <w:t>and</w:t>
      </w:r>
      <w:proofErr w:type="spellEnd"/>
      <w:r w:rsidRPr="00EE519D">
        <w:t xml:space="preserve"> </w:t>
      </w:r>
      <w:proofErr w:type="spellStart"/>
      <w:r w:rsidRPr="00EE519D">
        <w:t>Risks</w:t>
      </w:r>
      <w:proofErr w:type="spellEnd"/>
      <w:r w:rsidRPr="00EE519D">
        <w:t>. The World Bank and Kluwer Law International. 2009, с. 7</w:t>
      </w:r>
      <w:r w:rsidR="00897CDA" w:rsidRPr="00EE519D">
        <w:t>.</w:t>
      </w:r>
    </w:p>
  </w:footnote>
  <w:footnote w:id="7">
    <w:p w:rsidR="00925554" w:rsidRDefault="00925554">
      <w:pPr>
        <w:pStyle w:val="a8"/>
      </w:pPr>
      <w:r>
        <w:rPr>
          <w:rStyle w:val="aa"/>
        </w:rPr>
        <w:footnoteRef/>
      </w:r>
      <w:r>
        <w:t xml:space="preserve"> </w:t>
      </w:r>
      <w:r w:rsidRPr="00EE519D">
        <w:t xml:space="preserve">Сегодня на рынке строительства ВОЛС работает более 100 компаний, из которых 20 крупнейших занимают около 80 % рынка. </w:t>
      </w:r>
    </w:p>
  </w:footnote>
  <w:footnote w:id="8">
    <w:p w:rsidR="00287F83" w:rsidRDefault="00287F83" w:rsidP="00287F83">
      <w:pPr>
        <w:pStyle w:val="a8"/>
      </w:pPr>
      <w:r>
        <w:rPr>
          <w:rStyle w:val="aa"/>
        </w:rPr>
        <w:footnoteRef/>
      </w:r>
      <w:r w:rsidRPr="00287F83">
        <w:t xml:space="preserve"> </w:t>
      </w:r>
      <w:hyperlink r:id="rId1" w:history="1">
        <w:r w:rsidRPr="00116345">
          <w:rPr>
            <w:rStyle w:val="ab"/>
            <w:lang w:val="en-US"/>
          </w:rPr>
          <w:t>http</w:t>
        </w:r>
        <w:r w:rsidRPr="00287F83">
          <w:rPr>
            <w:rStyle w:val="ab"/>
          </w:rPr>
          <w:t>://</w:t>
        </w:r>
        <w:proofErr w:type="spellStart"/>
        <w:r w:rsidRPr="00116345">
          <w:rPr>
            <w:rStyle w:val="ab"/>
            <w:lang w:val="en-US"/>
          </w:rPr>
          <w:t>json</w:t>
        </w:r>
        <w:proofErr w:type="spellEnd"/>
        <w:r w:rsidRPr="00287F83">
          <w:rPr>
            <w:rStyle w:val="ab"/>
          </w:rPr>
          <w:t>.</w:t>
        </w:r>
        <w:proofErr w:type="spellStart"/>
        <w:r w:rsidRPr="00116345">
          <w:rPr>
            <w:rStyle w:val="ab"/>
            <w:lang w:val="en-US"/>
          </w:rPr>
          <w:t>tv</w:t>
        </w:r>
        <w:proofErr w:type="spellEnd"/>
        <w:r w:rsidRPr="00287F83">
          <w:rPr>
            <w:rStyle w:val="ab"/>
          </w:rPr>
          <w:t>/</w:t>
        </w:r>
        <w:proofErr w:type="spellStart"/>
        <w:r w:rsidRPr="00116345">
          <w:rPr>
            <w:rStyle w:val="ab"/>
            <w:lang w:val="en-US"/>
          </w:rPr>
          <w:t>ict</w:t>
        </w:r>
        <w:proofErr w:type="spellEnd"/>
        <w:r w:rsidRPr="00287F83">
          <w:rPr>
            <w:rStyle w:val="ab"/>
          </w:rPr>
          <w:t>_</w:t>
        </w:r>
        <w:r w:rsidRPr="00116345">
          <w:rPr>
            <w:rStyle w:val="ab"/>
            <w:lang w:val="en-US"/>
          </w:rPr>
          <w:t>telecom</w:t>
        </w:r>
        <w:r w:rsidRPr="00287F83">
          <w:rPr>
            <w:rStyle w:val="ab"/>
          </w:rPr>
          <w:t>_</w:t>
        </w:r>
        <w:r w:rsidRPr="00116345">
          <w:rPr>
            <w:rStyle w:val="ab"/>
            <w:lang w:val="en-US"/>
          </w:rPr>
          <w:t>analytics</w:t>
        </w:r>
        <w:r w:rsidRPr="00287F83">
          <w:rPr>
            <w:rStyle w:val="ab"/>
          </w:rPr>
          <w:t>_</w:t>
        </w:r>
        <w:r w:rsidRPr="00116345">
          <w:rPr>
            <w:rStyle w:val="ab"/>
            <w:lang w:val="en-US"/>
          </w:rPr>
          <w:t>view</w:t>
        </w:r>
        <w:r w:rsidRPr="00287F83">
          <w:rPr>
            <w:rStyle w:val="ab"/>
          </w:rPr>
          <w:t>/</w:t>
        </w:r>
        <w:proofErr w:type="spellStart"/>
        <w:r w:rsidRPr="00116345">
          <w:rPr>
            <w:rStyle w:val="ab"/>
            <w:lang w:val="en-US"/>
          </w:rPr>
          <w:t>obzor</w:t>
        </w:r>
        <w:proofErr w:type="spellEnd"/>
        <w:r w:rsidRPr="00287F83">
          <w:rPr>
            <w:rStyle w:val="ab"/>
          </w:rPr>
          <w:t>-</w:t>
        </w:r>
        <w:proofErr w:type="spellStart"/>
        <w:r w:rsidRPr="00116345">
          <w:rPr>
            <w:rStyle w:val="ab"/>
            <w:lang w:val="en-US"/>
          </w:rPr>
          <w:t>rynka</w:t>
        </w:r>
        <w:proofErr w:type="spellEnd"/>
        <w:r w:rsidRPr="00287F83">
          <w:rPr>
            <w:rStyle w:val="ab"/>
          </w:rPr>
          <w:t>-</w:t>
        </w:r>
        <w:proofErr w:type="spellStart"/>
        <w:r w:rsidRPr="00116345">
          <w:rPr>
            <w:rStyle w:val="ab"/>
            <w:lang w:val="en-US"/>
          </w:rPr>
          <w:t>stroitelstva</w:t>
        </w:r>
        <w:proofErr w:type="spellEnd"/>
        <w:r w:rsidRPr="00287F83">
          <w:rPr>
            <w:rStyle w:val="ab"/>
          </w:rPr>
          <w:t>-</w:t>
        </w:r>
        <w:proofErr w:type="spellStart"/>
        <w:r w:rsidRPr="00116345">
          <w:rPr>
            <w:rStyle w:val="ab"/>
            <w:lang w:val="en-US"/>
          </w:rPr>
          <w:t>vols</w:t>
        </w:r>
        <w:proofErr w:type="spellEnd"/>
        <w:r w:rsidRPr="00287F83">
          <w:rPr>
            <w:rStyle w:val="ab"/>
          </w:rPr>
          <w:t>-</w:t>
        </w:r>
        <w:r w:rsidRPr="00116345">
          <w:rPr>
            <w:rStyle w:val="ab"/>
            <w:lang w:val="en-US"/>
          </w:rPr>
          <w:t>v</w:t>
        </w:r>
        <w:r w:rsidRPr="00287F83">
          <w:rPr>
            <w:rStyle w:val="ab"/>
          </w:rPr>
          <w:t>-</w:t>
        </w:r>
        <w:proofErr w:type="spellStart"/>
        <w:r w:rsidRPr="00116345">
          <w:rPr>
            <w:rStyle w:val="ab"/>
            <w:lang w:val="en-US"/>
          </w:rPr>
          <w:t>rossiyskoy</w:t>
        </w:r>
        <w:proofErr w:type="spellEnd"/>
        <w:r w:rsidRPr="00287F83">
          <w:rPr>
            <w:rStyle w:val="ab"/>
          </w:rPr>
          <w:t>-</w:t>
        </w:r>
        <w:proofErr w:type="spellStart"/>
        <w:r w:rsidRPr="00116345">
          <w:rPr>
            <w:rStyle w:val="ab"/>
            <w:lang w:val="en-US"/>
          </w:rPr>
          <w:t>federatsii</w:t>
        </w:r>
        <w:proofErr w:type="spellEnd"/>
        <w:r w:rsidRPr="00287F83">
          <w:rPr>
            <w:rStyle w:val="ab"/>
          </w:rPr>
          <w:t>-</w:t>
        </w:r>
        <w:proofErr w:type="spellStart"/>
        <w:r w:rsidRPr="00116345">
          <w:rPr>
            <w:rStyle w:val="ab"/>
            <w:lang w:val="en-US"/>
          </w:rPr>
          <w:t>predvaritelnye</w:t>
        </w:r>
        <w:proofErr w:type="spellEnd"/>
        <w:r w:rsidRPr="00287F83">
          <w:rPr>
            <w:rStyle w:val="ab"/>
          </w:rPr>
          <w:t>-</w:t>
        </w:r>
        <w:proofErr w:type="spellStart"/>
        <w:r w:rsidRPr="00116345">
          <w:rPr>
            <w:rStyle w:val="ab"/>
            <w:lang w:val="en-US"/>
          </w:rPr>
          <w:t>itogi</w:t>
        </w:r>
        <w:proofErr w:type="spellEnd"/>
        <w:r w:rsidRPr="00287F83">
          <w:rPr>
            <w:rStyle w:val="ab"/>
          </w:rPr>
          <w:t>-2014-</w:t>
        </w:r>
        <w:r w:rsidRPr="00116345">
          <w:rPr>
            <w:rStyle w:val="ab"/>
            <w:lang w:val="en-US"/>
          </w:rPr>
          <w:t>g</w:t>
        </w:r>
        <w:r w:rsidRPr="00287F83">
          <w:rPr>
            <w:rStyle w:val="ab"/>
          </w:rPr>
          <w:t>-20150406041413</w:t>
        </w:r>
      </w:hyperlink>
    </w:p>
    <w:p w:rsidR="00287F83" w:rsidRPr="006F4528" w:rsidRDefault="00287F83" w:rsidP="00287F83">
      <w:pPr>
        <w:pStyle w:val="a8"/>
      </w:pPr>
    </w:p>
  </w:footnote>
  <w:footnote w:id="9">
    <w:p w:rsidR="000C4F3D" w:rsidRDefault="000C4F3D" w:rsidP="000C4F3D">
      <w:pPr>
        <w:pStyle w:val="a8"/>
      </w:pPr>
      <w:r>
        <w:rPr>
          <w:rStyle w:val="aa"/>
        </w:rPr>
        <w:footnoteRef/>
      </w:r>
      <w:r>
        <w:t xml:space="preserve"> </w:t>
      </w:r>
      <w:hyperlink r:id="rId2" w:history="1">
        <w:r w:rsidRPr="00116345">
          <w:rPr>
            <w:rStyle w:val="ab"/>
            <w:bCs/>
          </w:rPr>
          <w:t>http://json.tv/ict_telecom_analytics_view/vysokoskorostnye-tarifnye-plany-rossiyskih-i-zarubejnyh-operatorov-shpd-perspektivy-skorostey-1-gbits-20160328034818</w:t>
        </w:r>
      </w:hyperlink>
    </w:p>
  </w:footnote>
  <w:footnote w:id="10">
    <w:p w:rsidR="000C4F3D" w:rsidRDefault="000C4F3D" w:rsidP="000C4F3D">
      <w:pPr>
        <w:pStyle w:val="a8"/>
      </w:pPr>
      <w:r>
        <w:rPr>
          <w:rStyle w:val="aa"/>
        </w:rPr>
        <w:footnoteRef/>
      </w:r>
      <w:r>
        <w:t xml:space="preserve"> </w:t>
      </w:r>
      <w:hyperlink r:id="rId3" w:history="1">
        <w:r w:rsidRPr="00116345">
          <w:rPr>
            <w:rStyle w:val="ab"/>
            <w:bCs/>
          </w:rPr>
          <w:t>http://json.tv/ict_telecom_analytics_view/vysokoskorostnye-tarifnye-plany-rossiyskih-i-zarubejnyh-operatorov-shpd-perspektivy-skorostey-1-gbits-20160328034818</w:t>
        </w:r>
      </w:hyperlink>
    </w:p>
  </w:footnote>
  <w:footnote w:id="11">
    <w:p w:rsidR="00540738" w:rsidRPr="00234784" w:rsidRDefault="00540738" w:rsidP="00540738">
      <w:pPr>
        <w:pStyle w:val="a8"/>
        <w:jc w:val="both"/>
        <w:rPr>
          <w:lang w:val="en-US"/>
        </w:rPr>
      </w:pPr>
      <w:r>
        <w:rPr>
          <w:rStyle w:val="aa"/>
        </w:rPr>
        <w:footnoteRef/>
      </w:r>
      <w:r>
        <w:t xml:space="preserve"> </w:t>
      </w:r>
      <w:r w:rsidRPr="00540738">
        <w:t>О развитии инфраструктуры связи</w:t>
      </w:r>
      <w:r>
        <w:t>.</w:t>
      </w:r>
      <w:r w:rsidRPr="00540738">
        <w:t xml:space="preserve"> Доклад </w:t>
      </w:r>
      <w:r>
        <w:t xml:space="preserve">Министра связи и массовых коммуникаций Российской Федерации Н.А. </w:t>
      </w:r>
      <w:r w:rsidRPr="00540738">
        <w:t>Никифорова</w:t>
      </w:r>
      <w:r>
        <w:t xml:space="preserve"> на заседании Совета по региональной информатизации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  </w:t>
      </w:r>
      <w:hyperlink r:id="rId4" w:history="1">
        <w:r w:rsidR="00234784" w:rsidRPr="00234784">
          <w:rPr>
            <w:rStyle w:val="ab"/>
            <w:lang w:val="en-US"/>
          </w:rPr>
          <w:t>http://minsvyaz.ru/uploaded/files/vopros-2spravkainfrastruktura-svyazi.pdf</w:t>
        </w:r>
      </w:hyperlink>
    </w:p>
  </w:footnote>
  <w:footnote w:id="12">
    <w:p w:rsidR="00287F83" w:rsidRDefault="00287F83" w:rsidP="00EE519D">
      <w:pPr>
        <w:pStyle w:val="1"/>
        <w:shd w:val="clear" w:color="auto" w:fill="FFFFFF"/>
        <w:spacing w:before="0"/>
        <w:textAlignment w:val="baseline"/>
      </w:pPr>
      <w:r>
        <w:rPr>
          <w:rStyle w:val="aa"/>
        </w:rPr>
        <w:footnoteRef/>
      </w:r>
      <w:r w:rsidRPr="00234784">
        <w:rPr>
          <w:lang w:val="en-US"/>
        </w:rPr>
        <w:t xml:space="preserve"> </w:t>
      </w:r>
      <w:proofErr w:type="spellStart"/>
      <w:proofErr w:type="gramStart"/>
      <w:r w:rsidRPr="00234784">
        <w:rPr>
          <w:rFonts w:ascii="Calibri" w:eastAsia="Calibri" w:hAnsi="Calibri" w:cs="Times New Roman"/>
          <w:b w:val="0"/>
          <w:color w:val="auto"/>
          <w:sz w:val="20"/>
          <w:szCs w:val="20"/>
          <w:lang w:val="en-US"/>
        </w:rPr>
        <w:t>J’son</w:t>
      </w:r>
      <w:proofErr w:type="spellEnd"/>
      <w:r w:rsidRPr="00234784">
        <w:rPr>
          <w:rFonts w:ascii="Calibri" w:eastAsia="Calibri" w:hAnsi="Calibri" w:cs="Times New Roman"/>
          <w:b w:val="0"/>
          <w:color w:val="auto"/>
          <w:sz w:val="20"/>
          <w:szCs w:val="20"/>
          <w:lang w:val="en-US"/>
        </w:rPr>
        <w:t xml:space="preserve"> &amp; Partners Consulting.</w:t>
      </w:r>
      <w:proofErr w:type="gramEnd"/>
      <w:r w:rsidRPr="00234784">
        <w:rPr>
          <w:rFonts w:ascii="Calibri" w:eastAsia="Calibri" w:hAnsi="Calibri" w:cs="Times New Roman"/>
          <w:color w:val="auto"/>
          <w:sz w:val="20"/>
          <w:szCs w:val="20"/>
          <w:lang w:val="en-US"/>
        </w:rPr>
        <w:t xml:space="preserve"> </w:t>
      </w:r>
      <w:r w:rsidRPr="00EE519D">
        <w:rPr>
          <w:rFonts w:ascii="Calibri" w:eastAsia="Calibri" w:hAnsi="Calibri" w:cs="Times New Roman"/>
          <w:b w:val="0"/>
          <w:bCs w:val="0"/>
          <w:color w:val="auto"/>
          <w:sz w:val="20"/>
          <w:szCs w:val="20"/>
        </w:rPr>
        <w:t>Обзор абонентского оборудования и платформ для оказания дополнительных услуг операторами ШПД в сегменте В2С – оборудовани</w:t>
      </w:r>
      <w:r w:rsidRPr="00EE519D">
        <w:rPr>
          <w:rFonts w:ascii="Calibri" w:eastAsia="Calibri" w:hAnsi="Calibri" w:cs="Times New Roman"/>
          <w:b w:val="0"/>
          <w:color w:val="auto"/>
          <w:sz w:val="20"/>
          <w:szCs w:val="20"/>
        </w:rPr>
        <w:t xml:space="preserve">я для потребления контентных услуг. 2016. </w:t>
      </w:r>
      <w:hyperlink r:id="rId5" w:tgtFrame="_blank" w:history="1">
        <w:r w:rsidRPr="00EE519D">
          <w:rPr>
            <w:rStyle w:val="ab"/>
            <w:rFonts w:ascii="Calibri" w:eastAsia="Calibri" w:hAnsi="Calibri" w:cs="Times New Roman"/>
            <w:b w:val="0"/>
            <w:sz w:val="20"/>
            <w:szCs w:val="20"/>
          </w:rPr>
          <w:t>http://json.tv/ict_telecom_analytics</w:t>
        </w:r>
      </w:hyperlink>
    </w:p>
  </w:footnote>
  <w:footnote w:id="13">
    <w:p w:rsidR="00234784" w:rsidRDefault="00234784" w:rsidP="00234784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40738">
        <w:t>http://minsvyaz.ru/uploaded/files/vopros-2spravkainfrastruktura-svyazi.pdf</w:t>
      </w:r>
    </w:p>
  </w:footnote>
  <w:footnote w:id="14">
    <w:p w:rsidR="003358DD" w:rsidRDefault="003358DD" w:rsidP="00DD1074">
      <w:pPr>
        <w:pStyle w:val="3"/>
        <w:shd w:val="clear" w:color="auto" w:fill="FFFFFF"/>
        <w:spacing w:before="0" w:after="144"/>
        <w:jc w:val="both"/>
      </w:pPr>
      <w:r>
        <w:rPr>
          <w:rStyle w:val="aa"/>
        </w:rPr>
        <w:footnoteRef/>
      </w:r>
      <w:r>
        <w:t xml:space="preserve"> </w:t>
      </w:r>
      <w:r w:rsidR="00DD1074" w:rsidRPr="00DD1074">
        <w:rPr>
          <w:rFonts w:ascii="Calibri" w:eastAsia="Calibri" w:hAnsi="Calibri" w:cs="Times New Roman"/>
          <w:b w:val="0"/>
          <w:bCs w:val="0"/>
          <w:color w:val="auto"/>
          <w:sz w:val="20"/>
          <w:szCs w:val="20"/>
        </w:rPr>
        <w:t>Островский</w:t>
      </w:r>
      <w:r w:rsidR="00DD1074">
        <w:rPr>
          <w:rFonts w:ascii="Calibri" w:eastAsia="Calibri" w:hAnsi="Calibri" w:cs="Times New Roman"/>
          <w:b w:val="0"/>
          <w:bCs w:val="0"/>
          <w:color w:val="auto"/>
          <w:sz w:val="20"/>
          <w:szCs w:val="20"/>
        </w:rPr>
        <w:t xml:space="preserve"> А</w:t>
      </w:r>
      <w:r w:rsidR="00DD1074" w:rsidRPr="00DD1074">
        <w:rPr>
          <w:rFonts w:ascii="Calibri" w:eastAsia="Calibri" w:hAnsi="Calibri" w:cs="Times New Roman"/>
          <w:b w:val="0"/>
          <w:bCs w:val="0"/>
          <w:color w:val="auto"/>
          <w:sz w:val="20"/>
          <w:szCs w:val="20"/>
        </w:rPr>
        <w:t xml:space="preserve">. Китай. Особые экономические зоны - удачный социально-экономический проект </w:t>
      </w:r>
      <w:r w:rsidR="00DD1074">
        <w:rPr>
          <w:b w:val="0"/>
          <w:bCs w:val="0"/>
        </w:rPr>
        <w:t xml:space="preserve">// </w:t>
      </w:r>
      <w:r w:rsidR="00DD1074" w:rsidRPr="00DD1074">
        <w:rPr>
          <w:rFonts w:ascii="Calibri" w:eastAsia="Calibri" w:hAnsi="Calibri" w:cs="Times New Roman"/>
          <w:b w:val="0"/>
          <w:bCs w:val="0"/>
          <w:color w:val="auto"/>
          <w:sz w:val="20"/>
          <w:szCs w:val="20"/>
        </w:rPr>
        <w:t>Человек и Труд</w:t>
      </w:r>
      <w:r w:rsidR="00DD1074">
        <w:rPr>
          <w:b w:val="0"/>
          <w:bCs w:val="0"/>
        </w:rPr>
        <w:t>.</w:t>
      </w:r>
      <w:r w:rsidR="00DD1074" w:rsidRPr="00DD1074">
        <w:rPr>
          <w:rFonts w:ascii="Calibri" w:eastAsia="Calibri" w:hAnsi="Calibri" w:cs="Times New Roman"/>
          <w:b w:val="0"/>
          <w:bCs w:val="0"/>
          <w:color w:val="auto"/>
          <w:sz w:val="20"/>
          <w:szCs w:val="20"/>
        </w:rPr>
        <w:t xml:space="preserve"> 2004</w:t>
      </w:r>
      <w:r w:rsidR="00DD1074">
        <w:rPr>
          <w:b w:val="0"/>
          <w:bCs w:val="0"/>
        </w:rPr>
        <w:t xml:space="preserve">. </w:t>
      </w:r>
      <w:r w:rsidR="00DD1074" w:rsidRPr="00DD1074">
        <w:rPr>
          <w:rFonts w:ascii="Calibri" w:eastAsia="Calibri" w:hAnsi="Calibri" w:cs="Times New Roman"/>
          <w:b w:val="0"/>
          <w:bCs w:val="0"/>
          <w:color w:val="auto"/>
          <w:sz w:val="20"/>
          <w:szCs w:val="20"/>
        </w:rPr>
        <w:t xml:space="preserve"> № 6.</w:t>
      </w:r>
      <w:r w:rsidR="00DD1074" w:rsidRPr="00DD1074">
        <w:t xml:space="preserve"> </w:t>
      </w:r>
      <w:r w:rsidR="00DD1074" w:rsidRPr="00DD1074">
        <w:rPr>
          <w:rFonts w:ascii="Calibri" w:eastAsia="Calibri" w:hAnsi="Calibri" w:cs="Times New Roman"/>
          <w:b w:val="0"/>
          <w:bCs w:val="0"/>
          <w:color w:val="auto"/>
          <w:sz w:val="20"/>
          <w:szCs w:val="20"/>
        </w:rPr>
        <w:t>http://www.rosez.ru/analitika/</w:t>
      </w:r>
    </w:p>
  </w:footnote>
  <w:footnote w:id="15">
    <w:p w:rsidR="003358DD" w:rsidRDefault="003358DD">
      <w:pPr>
        <w:pStyle w:val="a8"/>
      </w:pPr>
      <w:r>
        <w:rPr>
          <w:rStyle w:val="aa"/>
        </w:rPr>
        <w:footnoteRef/>
      </w:r>
      <w:r>
        <w:t xml:space="preserve"> </w:t>
      </w:r>
      <w:hyperlink r:id="rId6" w:history="1">
        <w:r w:rsidR="00DD1074" w:rsidRPr="00116345">
          <w:rPr>
            <w:rStyle w:val="ab"/>
          </w:rPr>
          <w:t>http://www.economy.gov.ru/minec/activity/sections/specialeconomicareasmain/specialeconomicareas/news20091005</w:t>
        </w:r>
      </w:hyperlink>
    </w:p>
    <w:p w:rsidR="003358DD" w:rsidRDefault="003358DD">
      <w:pPr>
        <w:pStyle w:val="a8"/>
      </w:pPr>
    </w:p>
  </w:footnote>
  <w:footnote w:id="16">
    <w:p w:rsidR="00820FBA" w:rsidRDefault="00820FBA" w:rsidP="00820FBA">
      <w:pPr>
        <w:pStyle w:val="a8"/>
      </w:pPr>
      <w:r>
        <w:rPr>
          <w:rStyle w:val="aa"/>
        </w:rPr>
        <w:footnoteRef/>
      </w:r>
      <w:r>
        <w:t xml:space="preserve">  </w:t>
      </w:r>
      <w:proofErr w:type="spellStart"/>
      <w:r>
        <w:t>Варнавский</w:t>
      </w:r>
      <w:proofErr w:type="spellEnd"/>
      <w:r>
        <w:t xml:space="preserve"> В.Г. Государственно – частное партнерство в Европе. Современная Европа, 2005 №2..</w:t>
      </w:r>
    </w:p>
  </w:footnote>
  <w:footnote w:id="17">
    <w:p w:rsidR="00195DB4" w:rsidRDefault="00195DB4" w:rsidP="00195DB4">
      <w:pPr>
        <w:pStyle w:val="a8"/>
      </w:pPr>
      <w:r>
        <w:rPr>
          <w:rStyle w:val="aa"/>
        </w:rPr>
        <w:footnoteRef/>
      </w:r>
      <w:r>
        <w:t xml:space="preserve"> Годунова Д. Концессия: новые возможности для привлечения инвестиций. Слияния и поглощения. 2009 №4. Годунова Д.</w:t>
      </w:r>
    </w:p>
  </w:footnote>
  <w:footnote w:id="18">
    <w:p w:rsidR="003358DD" w:rsidRDefault="003358DD" w:rsidP="00232325">
      <w:pPr>
        <w:pStyle w:val="a8"/>
      </w:pPr>
      <w:r>
        <w:rPr>
          <w:rStyle w:val="aa"/>
        </w:rPr>
        <w:footnoteRef/>
      </w:r>
      <w:r>
        <w:t xml:space="preserve"> </w:t>
      </w:r>
      <w:r w:rsidRPr="00232325">
        <w:t>Концепция долгосрочного социально-экономического развития Российской Федерации на период до 2020 года</w:t>
      </w:r>
      <w:r>
        <w:t>. УТВ. распоряжением Правительства Российской Федерации от 17.11.2008 г. № 1662-р</w:t>
      </w:r>
    </w:p>
  </w:footnote>
  <w:footnote w:id="19">
    <w:p w:rsidR="003F1B78" w:rsidRPr="005A186B" w:rsidRDefault="003F1B78">
      <w:pPr>
        <w:pStyle w:val="a8"/>
        <w:rPr>
          <w:lang w:val="en-US"/>
        </w:rPr>
      </w:pPr>
      <w:r>
        <w:rPr>
          <w:rStyle w:val="aa"/>
        </w:rPr>
        <w:footnoteRef/>
      </w:r>
      <w:r w:rsidRPr="005A186B">
        <w:rPr>
          <w:lang w:val="en-US"/>
        </w:rPr>
        <w:t xml:space="preserve"> </w:t>
      </w:r>
      <w:proofErr w:type="spellStart"/>
      <w:r w:rsidR="005A186B" w:rsidRPr="005A186B">
        <w:rPr>
          <w:rFonts w:ascii="Arial" w:hAnsi="Arial" w:cs="Arial"/>
          <w:color w:val="222222"/>
          <w:shd w:val="clear" w:color="auto" w:fill="FFFFFF"/>
          <w:lang w:val="en-US"/>
        </w:rPr>
        <w:t>Mintzberg</w:t>
      </w:r>
      <w:proofErr w:type="spellEnd"/>
      <w:r w:rsidR="005A186B" w:rsidRPr="005A186B">
        <w:rPr>
          <w:rFonts w:ascii="Arial" w:hAnsi="Arial" w:cs="Arial"/>
          <w:color w:val="222222"/>
          <w:shd w:val="clear" w:color="auto" w:fill="FFFFFF"/>
          <w:lang w:val="en-US"/>
        </w:rPr>
        <w:t xml:space="preserve"> H. </w:t>
      </w:r>
      <w:bookmarkStart w:id="0" w:name="_GoBack"/>
      <w:bookmarkEnd w:id="0"/>
      <w:proofErr w:type="spellStart"/>
      <w:r w:rsidR="0066519E" w:rsidRPr="0066519E">
        <w:rPr>
          <w:rFonts w:ascii="Arial" w:hAnsi="Arial" w:cs="Arial"/>
          <w:color w:val="222222"/>
          <w:shd w:val="clear" w:color="auto" w:fill="FFFFFF"/>
          <w:lang w:val="en-US"/>
        </w:rPr>
        <w:t>Mintzberg</w:t>
      </w:r>
      <w:proofErr w:type="spellEnd"/>
      <w:r w:rsidR="0066519E" w:rsidRPr="0066519E">
        <w:rPr>
          <w:rFonts w:ascii="Arial" w:hAnsi="Arial" w:cs="Arial"/>
          <w:color w:val="222222"/>
          <w:shd w:val="clear" w:color="auto" w:fill="FFFFFF"/>
          <w:lang w:val="en-US"/>
        </w:rPr>
        <w:t xml:space="preserve"> on management: Inside our strange world of organizations. – Simon and Schuster, 1989.</w:t>
      </w:r>
      <w:r w:rsidRPr="0066519E">
        <w:rPr>
          <w:rFonts w:ascii="Arial" w:hAnsi="Arial" w:cs="Arial"/>
          <w:color w:val="222222"/>
          <w:shd w:val="clear" w:color="auto" w:fill="FFFFFF"/>
          <w:lang w:val="en-US"/>
        </w:rPr>
        <w:t>P.368.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746"/>
    <w:multiLevelType w:val="hybridMultilevel"/>
    <w:tmpl w:val="12A6ED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4A62"/>
    <w:multiLevelType w:val="hybridMultilevel"/>
    <w:tmpl w:val="B058A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703"/>
    <w:multiLevelType w:val="hybridMultilevel"/>
    <w:tmpl w:val="4094F4DC"/>
    <w:lvl w:ilvl="0" w:tplc="FDE6F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7A00"/>
    <w:multiLevelType w:val="hybridMultilevel"/>
    <w:tmpl w:val="C8285D7A"/>
    <w:lvl w:ilvl="0" w:tplc="B5F4DE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CE6CDA"/>
    <w:multiLevelType w:val="hybridMultilevel"/>
    <w:tmpl w:val="51A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C1EAD"/>
    <w:multiLevelType w:val="hybridMultilevel"/>
    <w:tmpl w:val="4084998E"/>
    <w:lvl w:ilvl="0" w:tplc="D73A73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C0B93"/>
    <w:multiLevelType w:val="hybridMultilevel"/>
    <w:tmpl w:val="4CC2152C"/>
    <w:lvl w:ilvl="0" w:tplc="9FC619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B7CDC"/>
    <w:multiLevelType w:val="hybridMultilevel"/>
    <w:tmpl w:val="8B2468E6"/>
    <w:lvl w:ilvl="0" w:tplc="BB4CF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C92CE">
      <w:start w:val="1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6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40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AD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26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E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E4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49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646C71"/>
    <w:multiLevelType w:val="hybridMultilevel"/>
    <w:tmpl w:val="032E47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015706"/>
    <w:multiLevelType w:val="hybridMultilevel"/>
    <w:tmpl w:val="AEEE8B82"/>
    <w:lvl w:ilvl="0" w:tplc="98F8F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05502">
      <w:start w:val="10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27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E8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602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8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E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205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65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FAC4A0F"/>
    <w:multiLevelType w:val="multilevel"/>
    <w:tmpl w:val="BCE05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2124271E"/>
    <w:multiLevelType w:val="hybridMultilevel"/>
    <w:tmpl w:val="CF9E8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B6CD4"/>
    <w:multiLevelType w:val="hybridMultilevel"/>
    <w:tmpl w:val="7E761544"/>
    <w:lvl w:ilvl="0" w:tplc="B72A6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166E02"/>
    <w:multiLevelType w:val="multilevel"/>
    <w:tmpl w:val="132CC7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4E16BF2"/>
    <w:multiLevelType w:val="hybridMultilevel"/>
    <w:tmpl w:val="CF5A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E4F77"/>
    <w:multiLevelType w:val="multilevel"/>
    <w:tmpl w:val="AEEC3D8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abstractNum w:abstractNumId="16">
    <w:nsid w:val="38F30765"/>
    <w:multiLevelType w:val="hybridMultilevel"/>
    <w:tmpl w:val="D76A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E16D2"/>
    <w:multiLevelType w:val="hybridMultilevel"/>
    <w:tmpl w:val="62D6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62968"/>
    <w:multiLevelType w:val="hybridMultilevel"/>
    <w:tmpl w:val="99107FF8"/>
    <w:lvl w:ilvl="0" w:tplc="695202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EFEE83A">
      <w:start w:val="1"/>
      <w:numFmt w:val="decimal"/>
      <w:lvlText w:val="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824F45"/>
    <w:multiLevelType w:val="hybridMultilevel"/>
    <w:tmpl w:val="7E761544"/>
    <w:lvl w:ilvl="0" w:tplc="B72A6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DE187F"/>
    <w:multiLevelType w:val="hybridMultilevel"/>
    <w:tmpl w:val="BD66823A"/>
    <w:lvl w:ilvl="0" w:tplc="2C4A6D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33255B"/>
    <w:multiLevelType w:val="hybridMultilevel"/>
    <w:tmpl w:val="801E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C25DB"/>
    <w:multiLevelType w:val="hybridMultilevel"/>
    <w:tmpl w:val="F98C1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DE3321A"/>
    <w:multiLevelType w:val="hybridMultilevel"/>
    <w:tmpl w:val="37CC0A4A"/>
    <w:lvl w:ilvl="0" w:tplc="FDE6F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965661"/>
    <w:multiLevelType w:val="hybridMultilevel"/>
    <w:tmpl w:val="7E761544"/>
    <w:lvl w:ilvl="0" w:tplc="B72A6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3687F70"/>
    <w:multiLevelType w:val="hybridMultilevel"/>
    <w:tmpl w:val="8762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F5F31"/>
    <w:multiLevelType w:val="hybridMultilevel"/>
    <w:tmpl w:val="44C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90DB3"/>
    <w:multiLevelType w:val="hybridMultilevel"/>
    <w:tmpl w:val="686A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3472A"/>
    <w:multiLevelType w:val="hybridMultilevel"/>
    <w:tmpl w:val="AC96A470"/>
    <w:lvl w:ilvl="0" w:tplc="5BFC31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E41714"/>
    <w:multiLevelType w:val="hybridMultilevel"/>
    <w:tmpl w:val="3C6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F695E"/>
    <w:multiLevelType w:val="hybridMultilevel"/>
    <w:tmpl w:val="7E761544"/>
    <w:lvl w:ilvl="0" w:tplc="B72A6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3D259D"/>
    <w:multiLevelType w:val="hybridMultilevel"/>
    <w:tmpl w:val="C67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94AB5"/>
    <w:multiLevelType w:val="hybridMultilevel"/>
    <w:tmpl w:val="99ACEFEA"/>
    <w:lvl w:ilvl="0" w:tplc="FDE6FE6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716581"/>
    <w:multiLevelType w:val="multilevel"/>
    <w:tmpl w:val="EFD09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32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19"/>
  </w:num>
  <w:num w:numId="11">
    <w:abstractNumId w:val="26"/>
  </w:num>
  <w:num w:numId="12">
    <w:abstractNumId w:val="27"/>
  </w:num>
  <w:num w:numId="13">
    <w:abstractNumId w:val="24"/>
  </w:num>
  <w:num w:numId="14">
    <w:abstractNumId w:val="25"/>
  </w:num>
  <w:num w:numId="15">
    <w:abstractNumId w:val="30"/>
  </w:num>
  <w:num w:numId="16">
    <w:abstractNumId w:val="14"/>
  </w:num>
  <w:num w:numId="17">
    <w:abstractNumId w:val="12"/>
  </w:num>
  <w:num w:numId="18">
    <w:abstractNumId w:val="22"/>
  </w:num>
  <w:num w:numId="19">
    <w:abstractNumId w:val="0"/>
  </w:num>
  <w:num w:numId="20">
    <w:abstractNumId w:val="17"/>
  </w:num>
  <w:num w:numId="21">
    <w:abstractNumId w:val="16"/>
  </w:num>
  <w:num w:numId="22">
    <w:abstractNumId w:val="4"/>
  </w:num>
  <w:num w:numId="23">
    <w:abstractNumId w:val="11"/>
  </w:num>
  <w:num w:numId="24">
    <w:abstractNumId w:val="33"/>
  </w:num>
  <w:num w:numId="25">
    <w:abstractNumId w:val="5"/>
  </w:num>
  <w:num w:numId="26">
    <w:abstractNumId w:val="6"/>
  </w:num>
  <w:num w:numId="27">
    <w:abstractNumId w:val="20"/>
  </w:num>
  <w:num w:numId="28">
    <w:abstractNumId w:val="13"/>
  </w:num>
  <w:num w:numId="29">
    <w:abstractNumId w:val="15"/>
  </w:num>
  <w:num w:numId="30">
    <w:abstractNumId w:val="10"/>
  </w:num>
  <w:num w:numId="31">
    <w:abstractNumId w:val="21"/>
  </w:num>
  <w:num w:numId="32">
    <w:abstractNumId w:val="28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E7"/>
    <w:rsid w:val="000008FA"/>
    <w:rsid w:val="00004682"/>
    <w:rsid w:val="000252E2"/>
    <w:rsid w:val="00031E49"/>
    <w:rsid w:val="00033A3A"/>
    <w:rsid w:val="00043536"/>
    <w:rsid w:val="00044612"/>
    <w:rsid w:val="00044959"/>
    <w:rsid w:val="00061FEC"/>
    <w:rsid w:val="000748AF"/>
    <w:rsid w:val="00075575"/>
    <w:rsid w:val="000862D7"/>
    <w:rsid w:val="000A5FD0"/>
    <w:rsid w:val="000B0FD8"/>
    <w:rsid w:val="000B1742"/>
    <w:rsid w:val="000B594A"/>
    <w:rsid w:val="000B7623"/>
    <w:rsid w:val="000C4F3D"/>
    <w:rsid w:val="000D184F"/>
    <w:rsid w:val="000E08B0"/>
    <w:rsid w:val="000F2271"/>
    <w:rsid w:val="00124ACF"/>
    <w:rsid w:val="0013573D"/>
    <w:rsid w:val="00143424"/>
    <w:rsid w:val="00152B70"/>
    <w:rsid w:val="00182373"/>
    <w:rsid w:val="00183364"/>
    <w:rsid w:val="001865C6"/>
    <w:rsid w:val="00192F51"/>
    <w:rsid w:val="00195022"/>
    <w:rsid w:val="00195DB4"/>
    <w:rsid w:val="001B7518"/>
    <w:rsid w:val="001C1D79"/>
    <w:rsid w:val="001D1787"/>
    <w:rsid w:val="001D4414"/>
    <w:rsid w:val="001D663F"/>
    <w:rsid w:val="001E56D9"/>
    <w:rsid w:val="001E7B1E"/>
    <w:rsid w:val="001F24A1"/>
    <w:rsid w:val="002075D7"/>
    <w:rsid w:val="00230C76"/>
    <w:rsid w:val="00230EB3"/>
    <w:rsid w:val="00232325"/>
    <w:rsid w:val="00234784"/>
    <w:rsid w:val="0023706C"/>
    <w:rsid w:val="00241CA9"/>
    <w:rsid w:val="002508DD"/>
    <w:rsid w:val="00251F91"/>
    <w:rsid w:val="002732C3"/>
    <w:rsid w:val="002739AE"/>
    <w:rsid w:val="002867C5"/>
    <w:rsid w:val="00287F14"/>
    <w:rsid w:val="00287F83"/>
    <w:rsid w:val="002A6AE7"/>
    <w:rsid w:val="002B00A3"/>
    <w:rsid w:val="002B09EA"/>
    <w:rsid w:val="002D20E8"/>
    <w:rsid w:val="002D5617"/>
    <w:rsid w:val="002D798A"/>
    <w:rsid w:val="002F373E"/>
    <w:rsid w:val="00333F89"/>
    <w:rsid w:val="003358DD"/>
    <w:rsid w:val="0035100B"/>
    <w:rsid w:val="00362C51"/>
    <w:rsid w:val="003A1A05"/>
    <w:rsid w:val="003A2C14"/>
    <w:rsid w:val="003A4AE0"/>
    <w:rsid w:val="003F1B78"/>
    <w:rsid w:val="00405668"/>
    <w:rsid w:val="004102A6"/>
    <w:rsid w:val="004245FD"/>
    <w:rsid w:val="00425D83"/>
    <w:rsid w:val="0043259C"/>
    <w:rsid w:val="00433A23"/>
    <w:rsid w:val="00457F53"/>
    <w:rsid w:val="00461CD1"/>
    <w:rsid w:val="00476590"/>
    <w:rsid w:val="004C0A2F"/>
    <w:rsid w:val="005033C2"/>
    <w:rsid w:val="00511A9C"/>
    <w:rsid w:val="00520291"/>
    <w:rsid w:val="0052474C"/>
    <w:rsid w:val="00533643"/>
    <w:rsid w:val="00540738"/>
    <w:rsid w:val="00544968"/>
    <w:rsid w:val="00572613"/>
    <w:rsid w:val="0058204A"/>
    <w:rsid w:val="00584FED"/>
    <w:rsid w:val="00586C1D"/>
    <w:rsid w:val="005A186B"/>
    <w:rsid w:val="005B517B"/>
    <w:rsid w:val="005E0B56"/>
    <w:rsid w:val="00607BDC"/>
    <w:rsid w:val="0061490B"/>
    <w:rsid w:val="00625EC9"/>
    <w:rsid w:val="00636A96"/>
    <w:rsid w:val="006373D6"/>
    <w:rsid w:val="006429E0"/>
    <w:rsid w:val="006452DE"/>
    <w:rsid w:val="00660793"/>
    <w:rsid w:val="0066519E"/>
    <w:rsid w:val="006764DC"/>
    <w:rsid w:val="00676D79"/>
    <w:rsid w:val="006921D9"/>
    <w:rsid w:val="00694714"/>
    <w:rsid w:val="00696677"/>
    <w:rsid w:val="006B22F0"/>
    <w:rsid w:val="006C07F5"/>
    <w:rsid w:val="006C1519"/>
    <w:rsid w:val="006C26BF"/>
    <w:rsid w:val="006C5CAD"/>
    <w:rsid w:val="006D0CAD"/>
    <w:rsid w:val="006E0E02"/>
    <w:rsid w:val="006F1F35"/>
    <w:rsid w:val="006F5034"/>
    <w:rsid w:val="00703591"/>
    <w:rsid w:val="00712617"/>
    <w:rsid w:val="00735869"/>
    <w:rsid w:val="00736093"/>
    <w:rsid w:val="00743CA7"/>
    <w:rsid w:val="00744317"/>
    <w:rsid w:val="00760987"/>
    <w:rsid w:val="00766AF4"/>
    <w:rsid w:val="00771774"/>
    <w:rsid w:val="00781B56"/>
    <w:rsid w:val="00793F2F"/>
    <w:rsid w:val="007B5A2D"/>
    <w:rsid w:val="007C67E6"/>
    <w:rsid w:val="007D0001"/>
    <w:rsid w:val="007D4469"/>
    <w:rsid w:val="007D6C0C"/>
    <w:rsid w:val="007D74EC"/>
    <w:rsid w:val="007E35B1"/>
    <w:rsid w:val="007E784B"/>
    <w:rsid w:val="007E7A35"/>
    <w:rsid w:val="007F32FA"/>
    <w:rsid w:val="007F3F82"/>
    <w:rsid w:val="008076FF"/>
    <w:rsid w:val="00820721"/>
    <w:rsid w:val="00820FBA"/>
    <w:rsid w:val="008301E2"/>
    <w:rsid w:val="00835907"/>
    <w:rsid w:val="0085185B"/>
    <w:rsid w:val="00855A52"/>
    <w:rsid w:val="008574F3"/>
    <w:rsid w:val="0086652E"/>
    <w:rsid w:val="00867DC4"/>
    <w:rsid w:val="00894205"/>
    <w:rsid w:val="00897CDA"/>
    <w:rsid w:val="008A22AF"/>
    <w:rsid w:val="008A71A0"/>
    <w:rsid w:val="008A7ECF"/>
    <w:rsid w:val="008C794E"/>
    <w:rsid w:val="008D1C7D"/>
    <w:rsid w:val="008E00A3"/>
    <w:rsid w:val="008F40FC"/>
    <w:rsid w:val="00904393"/>
    <w:rsid w:val="00906D15"/>
    <w:rsid w:val="00925554"/>
    <w:rsid w:val="00930794"/>
    <w:rsid w:val="009345E1"/>
    <w:rsid w:val="009358DF"/>
    <w:rsid w:val="00937095"/>
    <w:rsid w:val="00941BA1"/>
    <w:rsid w:val="009504E2"/>
    <w:rsid w:val="009627A1"/>
    <w:rsid w:val="00966239"/>
    <w:rsid w:val="009846AE"/>
    <w:rsid w:val="0098665C"/>
    <w:rsid w:val="00995429"/>
    <w:rsid w:val="009960CB"/>
    <w:rsid w:val="009A5F86"/>
    <w:rsid w:val="009B47C7"/>
    <w:rsid w:val="009D3416"/>
    <w:rsid w:val="009D4B04"/>
    <w:rsid w:val="009E1E7D"/>
    <w:rsid w:val="009E5145"/>
    <w:rsid w:val="009F20FC"/>
    <w:rsid w:val="00A17130"/>
    <w:rsid w:val="00A22B6A"/>
    <w:rsid w:val="00A4478E"/>
    <w:rsid w:val="00A51385"/>
    <w:rsid w:val="00A52736"/>
    <w:rsid w:val="00A66D9A"/>
    <w:rsid w:val="00A70A18"/>
    <w:rsid w:val="00A73BE0"/>
    <w:rsid w:val="00A876FE"/>
    <w:rsid w:val="00AB47FC"/>
    <w:rsid w:val="00AE32CF"/>
    <w:rsid w:val="00AE6CA3"/>
    <w:rsid w:val="00AF7B67"/>
    <w:rsid w:val="00B05BA9"/>
    <w:rsid w:val="00B067A2"/>
    <w:rsid w:val="00B153D2"/>
    <w:rsid w:val="00B21BFE"/>
    <w:rsid w:val="00B355B5"/>
    <w:rsid w:val="00B42942"/>
    <w:rsid w:val="00B43DA0"/>
    <w:rsid w:val="00B442B6"/>
    <w:rsid w:val="00B5121B"/>
    <w:rsid w:val="00B7338C"/>
    <w:rsid w:val="00B82CD0"/>
    <w:rsid w:val="00B95B62"/>
    <w:rsid w:val="00BA10CC"/>
    <w:rsid w:val="00BC364D"/>
    <w:rsid w:val="00BC4D14"/>
    <w:rsid w:val="00BC7D63"/>
    <w:rsid w:val="00BE4F9C"/>
    <w:rsid w:val="00BF0B55"/>
    <w:rsid w:val="00BF6A12"/>
    <w:rsid w:val="00C01745"/>
    <w:rsid w:val="00C0396D"/>
    <w:rsid w:val="00C375B7"/>
    <w:rsid w:val="00C41E70"/>
    <w:rsid w:val="00C43F06"/>
    <w:rsid w:val="00C56AC0"/>
    <w:rsid w:val="00C85AD3"/>
    <w:rsid w:val="00C879C7"/>
    <w:rsid w:val="00C91BA2"/>
    <w:rsid w:val="00CA22A7"/>
    <w:rsid w:val="00CA66BF"/>
    <w:rsid w:val="00CA7829"/>
    <w:rsid w:val="00CB0F60"/>
    <w:rsid w:val="00CB5F4D"/>
    <w:rsid w:val="00CD0C5A"/>
    <w:rsid w:val="00CE121A"/>
    <w:rsid w:val="00CF1998"/>
    <w:rsid w:val="00D16499"/>
    <w:rsid w:val="00D2142E"/>
    <w:rsid w:val="00D40437"/>
    <w:rsid w:val="00D604D9"/>
    <w:rsid w:val="00D67681"/>
    <w:rsid w:val="00D70043"/>
    <w:rsid w:val="00D75C6C"/>
    <w:rsid w:val="00D76801"/>
    <w:rsid w:val="00D81006"/>
    <w:rsid w:val="00D86959"/>
    <w:rsid w:val="00DC403C"/>
    <w:rsid w:val="00DC6B72"/>
    <w:rsid w:val="00DD1074"/>
    <w:rsid w:val="00DD53D4"/>
    <w:rsid w:val="00DE399A"/>
    <w:rsid w:val="00DE54D2"/>
    <w:rsid w:val="00E05B5A"/>
    <w:rsid w:val="00E13B9B"/>
    <w:rsid w:val="00E30661"/>
    <w:rsid w:val="00E329B5"/>
    <w:rsid w:val="00E42E29"/>
    <w:rsid w:val="00E619C0"/>
    <w:rsid w:val="00E61BCB"/>
    <w:rsid w:val="00E7462A"/>
    <w:rsid w:val="00E85E3F"/>
    <w:rsid w:val="00E97C1C"/>
    <w:rsid w:val="00EB6E56"/>
    <w:rsid w:val="00EC5550"/>
    <w:rsid w:val="00ED1A9E"/>
    <w:rsid w:val="00ED5349"/>
    <w:rsid w:val="00EE249B"/>
    <w:rsid w:val="00EE519D"/>
    <w:rsid w:val="00EF124D"/>
    <w:rsid w:val="00EF4B9A"/>
    <w:rsid w:val="00F106F0"/>
    <w:rsid w:val="00F25532"/>
    <w:rsid w:val="00F25BF5"/>
    <w:rsid w:val="00F559E6"/>
    <w:rsid w:val="00F77E1D"/>
    <w:rsid w:val="00F80796"/>
    <w:rsid w:val="00F91D97"/>
    <w:rsid w:val="00F96BF0"/>
    <w:rsid w:val="00FB4B8B"/>
    <w:rsid w:val="00FD7F4A"/>
    <w:rsid w:val="00FE0A49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7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10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D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6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D9A"/>
    <w:rPr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B95B6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95B62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B95B62"/>
    <w:rPr>
      <w:vertAlign w:val="superscript"/>
    </w:rPr>
  </w:style>
  <w:style w:type="character" w:styleId="ab">
    <w:name w:val="Hyperlink"/>
    <w:basedOn w:val="a0"/>
    <w:uiPriority w:val="99"/>
    <w:unhideWhenUsed/>
    <w:rsid w:val="00333F89"/>
    <w:rPr>
      <w:color w:val="0000FF"/>
      <w:u w:val="single"/>
    </w:rPr>
  </w:style>
  <w:style w:type="paragraph" w:styleId="ac">
    <w:name w:val="Balloon Text"/>
    <w:basedOn w:val="a"/>
    <w:semiHidden/>
    <w:rsid w:val="00031E4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855A52"/>
    <w:rPr>
      <w:sz w:val="16"/>
      <w:szCs w:val="16"/>
    </w:rPr>
  </w:style>
  <w:style w:type="paragraph" w:styleId="ae">
    <w:name w:val="annotation text"/>
    <w:basedOn w:val="a"/>
    <w:semiHidden/>
    <w:rsid w:val="00855A52"/>
    <w:rPr>
      <w:sz w:val="20"/>
      <w:szCs w:val="20"/>
    </w:rPr>
  </w:style>
  <w:style w:type="paragraph" w:styleId="af">
    <w:name w:val="annotation subject"/>
    <w:basedOn w:val="ae"/>
    <w:next w:val="ae"/>
    <w:semiHidden/>
    <w:rsid w:val="00855A52"/>
    <w:rPr>
      <w:b/>
      <w:bCs/>
    </w:rPr>
  </w:style>
  <w:style w:type="character" w:customStyle="1" w:styleId="11">
    <w:name w:val="Основной текст Знак1"/>
    <w:basedOn w:val="a0"/>
    <w:link w:val="af0"/>
    <w:uiPriority w:val="99"/>
    <w:rsid w:val="003F1B78"/>
    <w:rPr>
      <w:rFonts w:ascii="Times New Roman" w:hAnsi="Times New Roman"/>
      <w:sz w:val="21"/>
      <w:szCs w:val="21"/>
      <w:shd w:val="clear" w:color="auto" w:fill="FFFFFF"/>
    </w:rPr>
  </w:style>
  <w:style w:type="paragraph" w:styleId="af0">
    <w:name w:val="Body Text"/>
    <w:basedOn w:val="a"/>
    <w:link w:val="11"/>
    <w:uiPriority w:val="99"/>
    <w:rsid w:val="003F1B78"/>
    <w:pPr>
      <w:shd w:val="clear" w:color="auto" w:fill="FFFFFF"/>
      <w:spacing w:before="300" w:after="60" w:line="240" w:lineRule="atLeast"/>
      <w:ind w:hanging="280"/>
    </w:pPr>
    <w:rPr>
      <w:rFonts w:ascii="Times New Roman" w:hAnsi="Times New Roman"/>
      <w:sz w:val="21"/>
      <w:szCs w:val="21"/>
      <w:lang w:eastAsia="ru-RU"/>
    </w:rPr>
  </w:style>
  <w:style w:type="character" w:customStyle="1" w:styleId="af1">
    <w:name w:val="Основной текст Знак"/>
    <w:basedOn w:val="a0"/>
    <w:uiPriority w:val="99"/>
    <w:semiHidden/>
    <w:rsid w:val="003F1B7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7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Normal (Web)"/>
    <w:basedOn w:val="a"/>
    <w:uiPriority w:val="99"/>
    <w:unhideWhenUsed/>
    <w:rsid w:val="00287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87F83"/>
    <w:rPr>
      <w:b/>
      <w:bCs/>
    </w:rPr>
  </w:style>
  <w:style w:type="character" w:styleId="af4">
    <w:name w:val="Emphasis"/>
    <w:basedOn w:val="a0"/>
    <w:uiPriority w:val="20"/>
    <w:qFormat/>
    <w:rsid w:val="00EE519D"/>
    <w:rPr>
      <w:i/>
      <w:iCs/>
    </w:rPr>
  </w:style>
  <w:style w:type="character" w:customStyle="1" w:styleId="apple-converted-space">
    <w:name w:val="apple-converted-space"/>
    <w:basedOn w:val="a0"/>
    <w:rsid w:val="00EE519D"/>
  </w:style>
  <w:style w:type="character" w:customStyle="1" w:styleId="30">
    <w:name w:val="Заголовок 3 Знак"/>
    <w:basedOn w:val="a0"/>
    <w:link w:val="3"/>
    <w:uiPriority w:val="9"/>
    <w:rsid w:val="00DD107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7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10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D9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6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D9A"/>
    <w:rPr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B95B6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95B62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B95B62"/>
    <w:rPr>
      <w:vertAlign w:val="superscript"/>
    </w:rPr>
  </w:style>
  <w:style w:type="character" w:styleId="ab">
    <w:name w:val="Hyperlink"/>
    <w:basedOn w:val="a0"/>
    <w:uiPriority w:val="99"/>
    <w:unhideWhenUsed/>
    <w:rsid w:val="00333F89"/>
    <w:rPr>
      <w:color w:val="0000FF"/>
      <w:u w:val="single"/>
    </w:rPr>
  </w:style>
  <w:style w:type="paragraph" w:styleId="ac">
    <w:name w:val="Balloon Text"/>
    <w:basedOn w:val="a"/>
    <w:semiHidden/>
    <w:rsid w:val="00031E49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855A52"/>
    <w:rPr>
      <w:sz w:val="16"/>
      <w:szCs w:val="16"/>
    </w:rPr>
  </w:style>
  <w:style w:type="paragraph" w:styleId="ae">
    <w:name w:val="annotation text"/>
    <w:basedOn w:val="a"/>
    <w:semiHidden/>
    <w:rsid w:val="00855A52"/>
    <w:rPr>
      <w:sz w:val="20"/>
      <w:szCs w:val="20"/>
    </w:rPr>
  </w:style>
  <w:style w:type="paragraph" w:styleId="af">
    <w:name w:val="annotation subject"/>
    <w:basedOn w:val="ae"/>
    <w:next w:val="ae"/>
    <w:semiHidden/>
    <w:rsid w:val="00855A52"/>
    <w:rPr>
      <w:b/>
      <w:bCs/>
    </w:rPr>
  </w:style>
  <w:style w:type="character" w:customStyle="1" w:styleId="11">
    <w:name w:val="Основной текст Знак1"/>
    <w:basedOn w:val="a0"/>
    <w:link w:val="af0"/>
    <w:uiPriority w:val="99"/>
    <w:rsid w:val="003F1B78"/>
    <w:rPr>
      <w:rFonts w:ascii="Times New Roman" w:hAnsi="Times New Roman"/>
      <w:sz w:val="21"/>
      <w:szCs w:val="21"/>
      <w:shd w:val="clear" w:color="auto" w:fill="FFFFFF"/>
    </w:rPr>
  </w:style>
  <w:style w:type="paragraph" w:styleId="af0">
    <w:name w:val="Body Text"/>
    <w:basedOn w:val="a"/>
    <w:link w:val="11"/>
    <w:uiPriority w:val="99"/>
    <w:rsid w:val="003F1B78"/>
    <w:pPr>
      <w:shd w:val="clear" w:color="auto" w:fill="FFFFFF"/>
      <w:spacing w:before="300" w:after="60" w:line="240" w:lineRule="atLeast"/>
      <w:ind w:hanging="280"/>
    </w:pPr>
    <w:rPr>
      <w:rFonts w:ascii="Times New Roman" w:hAnsi="Times New Roman"/>
      <w:sz w:val="21"/>
      <w:szCs w:val="21"/>
      <w:lang w:eastAsia="ru-RU"/>
    </w:rPr>
  </w:style>
  <w:style w:type="character" w:customStyle="1" w:styleId="af1">
    <w:name w:val="Основной текст Знак"/>
    <w:basedOn w:val="a0"/>
    <w:uiPriority w:val="99"/>
    <w:semiHidden/>
    <w:rsid w:val="003F1B7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7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Normal (Web)"/>
    <w:basedOn w:val="a"/>
    <w:uiPriority w:val="99"/>
    <w:unhideWhenUsed/>
    <w:rsid w:val="00287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87F83"/>
    <w:rPr>
      <w:b/>
      <w:bCs/>
    </w:rPr>
  </w:style>
  <w:style w:type="character" w:styleId="af4">
    <w:name w:val="Emphasis"/>
    <w:basedOn w:val="a0"/>
    <w:uiPriority w:val="20"/>
    <w:qFormat/>
    <w:rsid w:val="00EE519D"/>
    <w:rPr>
      <w:i/>
      <w:iCs/>
    </w:rPr>
  </w:style>
  <w:style w:type="character" w:customStyle="1" w:styleId="apple-converted-space">
    <w:name w:val="apple-converted-space"/>
    <w:basedOn w:val="a0"/>
    <w:rsid w:val="00EE519D"/>
  </w:style>
  <w:style w:type="character" w:customStyle="1" w:styleId="30">
    <w:name w:val="Заголовок 3 Знак"/>
    <w:basedOn w:val="a0"/>
    <w:link w:val="3"/>
    <w:uiPriority w:val="9"/>
    <w:rsid w:val="00DD107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265">
          <w:marLeft w:val="116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77">
          <w:marLeft w:val="116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305">
          <w:marLeft w:val="274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730">
          <w:marLeft w:val="116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0743">
          <w:marLeft w:val="274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77">
          <w:marLeft w:val="116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00">
          <w:marLeft w:val="274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349">
          <w:marLeft w:val="1166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json.tv/ict_telecom_analytics_view/vysokoskorostnye-tarifnye-plany-rossiyskih-i-zarubejnyh-operatorov-shpd-perspektivy-skorostey-1-gbits-20160328034818" TargetMode="External"/><Relationship Id="rId2" Type="http://schemas.openxmlformats.org/officeDocument/2006/relationships/hyperlink" Target="http://json.tv/ict_telecom_analytics_view/vysokoskorostnye-tarifnye-plany-rossiyskih-i-zarubejnyh-operatorov-shpd-perspektivy-skorostey-1-gbits-20160328034818" TargetMode="External"/><Relationship Id="rId1" Type="http://schemas.openxmlformats.org/officeDocument/2006/relationships/hyperlink" Target="http://json.tv/ict_telecom_analytics_view/obzor-rynka-stroitelstva-vols-v-rossiyskoy-federatsii-predvaritelnye-itogi-2014-g-20150406041413" TargetMode="External"/><Relationship Id="rId6" Type="http://schemas.openxmlformats.org/officeDocument/2006/relationships/hyperlink" Target="http://www.economy.gov.ru/minec/activity/sections/specialeconomicareasmain/specialeconomicareas/news20091005" TargetMode="External"/><Relationship Id="rId5" Type="http://schemas.openxmlformats.org/officeDocument/2006/relationships/hyperlink" Target="http://json.tv/ict_telecom_analytics" TargetMode="External"/><Relationship Id="rId4" Type="http://schemas.openxmlformats.org/officeDocument/2006/relationships/hyperlink" Target="http://minsvyaz.ru/uploaded/files/vopros-2spravkainfrastruktura-svyaz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4E88-5DA3-46AE-823F-3F2A2708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4798</Words>
  <Characters>27350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СОДЕРЖАНИЕ</vt:lpstr>
      <vt:lpstr>СОДЕРЖАНИЕ</vt:lpstr>
    </vt:vector>
  </TitlesOfParts>
  <Company>Lenovo</Company>
  <LinksUpToDate>false</LinksUpToDate>
  <CharactersWithSpaces>32084</CharactersWithSpaces>
  <SharedDoc>false</SharedDoc>
  <HLinks>
    <vt:vector size="24" baseType="variant">
      <vt:variant>
        <vt:i4>65556</vt:i4>
      </vt:variant>
      <vt:variant>
        <vt:i4>9</vt:i4>
      </vt:variant>
      <vt:variant>
        <vt:i4>0</vt:i4>
      </vt:variant>
      <vt:variant>
        <vt:i4>5</vt:i4>
      </vt:variant>
      <vt:variant>
        <vt:lpwstr>http://www.rosinfocominvest.ru/about/109/</vt:lpwstr>
      </vt:variant>
      <vt:variant>
        <vt:lpwstr/>
      </vt:variant>
      <vt:variant>
        <vt:i4>7733374</vt:i4>
      </vt:variant>
      <vt:variant>
        <vt:i4>6</vt:i4>
      </vt:variant>
      <vt:variant>
        <vt:i4>0</vt:i4>
      </vt:variant>
      <vt:variant>
        <vt:i4>5</vt:i4>
      </vt:variant>
      <vt:variant>
        <vt:lpwstr>http://www.investinginrussia.ru/rus/ppp/investfund</vt:lpwstr>
      </vt:variant>
      <vt:variant>
        <vt:lpwstr/>
      </vt:variant>
      <vt:variant>
        <vt:i4>4849732</vt:i4>
      </vt:variant>
      <vt:variant>
        <vt:i4>3</vt:i4>
      </vt:variant>
      <vt:variant>
        <vt:i4>0</vt:i4>
      </vt:variant>
      <vt:variant>
        <vt:i4>5</vt:i4>
      </vt:variant>
      <vt:variant>
        <vt:lpwstr>http://www.economy.gov.ru/minec/activity/sections/specialeconomicareasmain/specialeconomicareas/news20091005</vt:lpwstr>
      </vt:variant>
      <vt:variant>
        <vt:lpwstr/>
      </vt:variant>
      <vt:variant>
        <vt:i4>7471222</vt:i4>
      </vt:variant>
      <vt:variant>
        <vt:i4>0</vt:i4>
      </vt:variant>
      <vt:variant>
        <vt:i4>0</vt:i4>
      </vt:variant>
      <vt:variant>
        <vt:i4>5</vt:i4>
      </vt:variant>
      <vt:variant>
        <vt:lpwstr>http://www.i-gorod.com/future/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User</cp:lastModifiedBy>
  <cp:revision>26</cp:revision>
  <dcterms:created xsi:type="dcterms:W3CDTF">2016-08-14T12:26:00Z</dcterms:created>
  <dcterms:modified xsi:type="dcterms:W3CDTF">2016-10-09T17:25:00Z</dcterms:modified>
</cp:coreProperties>
</file>