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8" w:rsidRPr="008D00C4" w:rsidRDefault="00C91498" w:rsidP="00C91498">
      <w:pPr>
        <w:spacing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8D00C4">
        <w:rPr>
          <w:rFonts w:ascii="Garamond" w:eastAsia="Times New Roman" w:hAnsi="Garamond"/>
          <w:b/>
          <w:sz w:val="28"/>
          <w:szCs w:val="28"/>
          <w:lang w:eastAsia="ru-RU"/>
        </w:rPr>
        <w:t>МОСКОВСКИЙ ГОСУДАРСТВЕННЫЙ УНИВЕРСИТЕТ</w:t>
      </w:r>
      <w:r w:rsidRPr="008D00C4">
        <w:rPr>
          <w:rFonts w:ascii="Garamond" w:eastAsia="Times New Roman" w:hAnsi="Garamond"/>
          <w:b/>
          <w:sz w:val="28"/>
          <w:szCs w:val="28"/>
          <w:lang w:eastAsia="ru-RU"/>
        </w:rPr>
        <w:br/>
        <w:t>имени М.В. ЛОМОНОСОВА</w:t>
      </w:r>
    </w:p>
    <w:p w:rsidR="00C91498" w:rsidRPr="008D00C4" w:rsidRDefault="00C91498" w:rsidP="00C91498">
      <w:pPr>
        <w:spacing w:before="120" w:after="120"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8D00C4">
        <w:rPr>
          <w:rFonts w:ascii="Garamond" w:eastAsia="Times New Roman" w:hAnsi="Garamond"/>
          <w:b/>
          <w:sz w:val="28"/>
          <w:szCs w:val="28"/>
          <w:lang w:eastAsia="ru-RU"/>
        </w:rPr>
        <w:t>ЭКОНОМИЧЕСКИЙ ФАКУЛЬТЕТ</w:t>
      </w: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NewtonC" w:eastAsia="Times New Roman" w:hAnsi="NewtonC"/>
          <w:noProof/>
          <w:sz w:val="20"/>
          <w:szCs w:val="28"/>
          <w:lang w:eastAsia="ru-RU"/>
        </w:rPr>
        <w:drawing>
          <wp:inline distT="0" distB="0" distL="0" distR="0" wp14:anchorId="425B99D5" wp14:editId="4F29563F">
            <wp:extent cx="3983355" cy="2592070"/>
            <wp:effectExtent l="0" t="0" r="0" b="0"/>
            <wp:docPr id="2" name="Рисунок 1" descr="EF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Logo-pan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D00C4">
        <w:rPr>
          <w:rFonts w:ascii="Garamond" w:eastAsia="Times New Roman" w:hAnsi="Garamond"/>
          <w:b/>
          <w:i/>
          <w:caps/>
          <w:sz w:val="32"/>
          <w:szCs w:val="24"/>
          <w:lang w:eastAsia="ar-SA"/>
        </w:rPr>
        <w:t xml:space="preserve">Инновационное развитие экономики </w:t>
      </w:r>
      <w:r w:rsidRPr="00F95234">
        <w:rPr>
          <w:rFonts w:ascii="Garamond" w:eastAsia="Times New Roman" w:hAnsi="Garamond"/>
          <w:b/>
          <w:i/>
          <w:sz w:val="32"/>
          <w:szCs w:val="32"/>
          <w:lang w:eastAsia="ar-SA"/>
        </w:rPr>
        <w:t xml:space="preserve">РОССИИ: </w:t>
      </w:r>
      <w:r w:rsidRPr="00F95234">
        <w:rPr>
          <w:rFonts w:ascii="Garamond" w:hAnsi="Garamond"/>
          <w:b/>
          <w:i/>
          <w:sz w:val="32"/>
          <w:szCs w:val="32"/>
        </w:rPr>
        <w:t>МЕЖДИСЦИПЛИНАРНОЕ ВЗАИМОДЕЙСТВИЕ</w:t>
      </w: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1498" w:rsidRPr="008D00C4" w:rsidRDefault="00C91498" w:rsidP="00C91498">
      <w:pPr>
        <w:spacing w:after="120" w:line="600" w:lineRule="exact"/>
        <w:jc w:val="center"/>
        <w:rPr>
          <w:rFonts w:ascii="Cambria" w:eastAsia="Times New Roman" w:hAnsi="Cambria"/>
          <w:b/>
          <w:i/>
          <w:szCs w:val="28"/>
        </w:rPr>
      </w:pPr>
      <w:r w:rsidRPr="008D00C4">
        <w:rPr>
          <w:rFonts w:ascii="Cambria" w:eastAsia="Times New Roman" w:hAnsi="Cambria"/>
          <w:b/>
          <w:i/>
          <w:szCs w:val="28"/>
        </w:rPr>
        <w:t>Сборник статей по материалам</w:t>
      </w:r>
    </w:p>
    <w:p w:rsidR="00C91498" w:rsidRPr="008D00C4" w:rsidRDefault="00C91498" w:rsidP="00C91498">
      <w:pPr>
        <w:spacing w:after="120" w:line="600" w:lineRule="exact"/>
        <w:jc w:val="center"/>
        <w:rPr>
          <w:rFonts w:ascii="Cambria" w:eastAsia="Times New Roman" w:hAnsi="Cambria"/>
          <w:b/>
          <w:i/>
          <w:szCs w:val="28"/>
        </w:rPr>
      </w:pPr>
      <w:r>
        <w:rPr>
          <w:rFonts w:ascii="Cambria" w:eastAsia="Times New Roman" w:hAnsi="Cambria"/>
          <w:b/>
          <w:i/>
          <w:szCs w:val="28"/>
        </w:rPr>
        <w:t>Седьмой</w:t>
      </w:r>
      <w:r w:rsidRPr="008D00C4">
        <w:rPr>
          <w:rFonts w:ascii="Cambria" w:eastAsia="Times New Roman" w:hAnsi="Cambria"/>
          <w:b/>
          <w:i/>
          <w:szCs w:val="28"/>
        </w:rPr>
        <w:t xml:space="preserve"> международной научной конференции</w:t>
      </w: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Pr="008D00C4" w:rsidRDefault="00C91498" w:rsidP="00C9149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498" w:rsidRDefault="00C91498" w:rsidP="00C91498">
      <w:pPr>
        <w:spacing w:before="24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D00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Под редакцией профессора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А.А.Аузана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профессора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В.П.Колесова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</w:p>
    <w:p w:rsidR="00C91498" w:rsidRPr="008D00C4" w:rsidRDefault="00C91498" w:rsidP="00C91498">
      <w:pPr>
        <w:spacing w:before="24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профессора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В.В.Герасименко</w:t>
      </w:r>
      <w:proofErr w:type="spellEnd"/>
      <w:r w:rsidRPr="008D00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профессора </w:t>
      </w:r>
      <w:proofErr w:type="spellStart"/>
      <w:r w:rsidRPr="008D00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Л.А.Тутова</w:t>
      </w:r>
      <w:proofErr w:type="spellEnd"/>
    </w:p>
    <w:p w:rsidR="00C91498" w:rsidRPr="008D00C4" w:rsidRDefault="00C91498" w:rsidP="00C91498">
      <w:pPr>
        <w:spacing w:before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498" w:rsidRPr="008D00C4" w:rsidRDefault="00C91498" w:rsidP="00C91498">
      <w:pPr>
        <w:spacing w:before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498" w:rsidRPr="008D00C4" w:rsidRDefault="00C91498" w:rsidP="00C91498">
      <w:pPr>
        <w:spacing w:before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0C4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 </w:t>
      </w:r>
    </w:p>
    <w:p w:rsidR="00C91498" w:rsidRPr="003F027C" w:rsidRDefault="00C91498" w:rsidP="00C91498">
      <w:pPr>
        <w:spacing w:before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2014</w:t>
      </w:r>
    </w:p>
    <w:p w:rsidR="00C91498" w:rsidRPr="008D00C4" w:rsidRDefault="00C91498" w:rsidP="00C91498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Default="00C91498" w:rsidP="00C91498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C91498" w:rsidRPr="008D00C4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D00C4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>Издание публикуется при поддержке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i/>
          <w:sz w:val="24"/>
          <w:szCs w:val="24"/>
          <w:lang w:eastAsia="ar-SA"/>
        </w:rPr>
        <w:t>Российского фонда фундаментальных исследований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(проект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14-06-06008</w:t>
      </w:r>
      <w:r w:rsidRPr="00846E61"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Инновационное развитие экономики России: </w:t>
      </w:r>
      <w:r w:rsidRPr="00F95234">
        <w:rPr>
          <w:rFonts w:ascii="Times New Roman" w:hAnsi="Times New Roman"/>
          <w:b/>
          <w:sz w:val="24"/>
          <w:szCs w:val="24"/>
        </w:rPr>
        <w:t>междисциплинарное взаимодействие</w:t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Седьмая</w:t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 международная научная конференция; 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Москва, МГУ имени М.В. Ломоносова, Экономический факультет; 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16-18</w:t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 апреля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 г. Сборник статей.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Под ред. А.А. </w:t>
      </w:r>
      <w:proofErr w:type="spellStart"/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Аузана</w:t>
      </w:r>
      <w:proofErr w:type="spellEnd"/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В.П.Колесова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В.В.Герасименко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Л.А. </w:t>
      </w:r>
      <w:proofErr w:type="spellStart"/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Тутова</w:t>
      </w:r>
      <w:proofErr w:type="spellEnd"/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. – М.: ________,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. -  с.</w:t>
      </w: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ind w:firstLine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val="en-US" w:eastAsia="ar-SA"/>
        </w:rPr>
        <w:t>ISBN</w:t>
      </w: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Default="00C91498" w:rsidP="00C91498">
      <w:pPr>
        <w:suppressAutoHyphens/>
        <w:spacing w:line="240" w:lineRule="auto"/>
        <w:ind w:left="567" w:right="565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Настоящий сборник научных статей </w:t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посвящен </w:t>
      </w:r>
      <w:r w:rsidRPr="00BA0FA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комплексному теоретическому осмыслению экономических процессов и их результатов в контексте </w:t>
      </w:r>
      <w:r w:rsidRPr="006275BE">
        <w:rPr>
          <w:rFonts w:ascii="Times New Roman" w:eastAsia="Times New Roman" w:hAnsi="Times New Roman"/>
          <w:bCs/>
          <w:sz w:val="24"/>
          <w:szCs w:val="24"/>
          <w:lang w:eastAsia="ar-SA"/>
        </w:rPr>
        <w:t>междисциплинарного взаимодействия.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C91498" w:rsidRPr="00846E61" w:rsidRDefault="00C91498" w:rsidP="00C91498">
      <w:pPr>
        <w:suppressAutoHyphens/>
        <w:spacing w:line="240" w:lineRule="auto"/>
        <w:ind w:left="567" w:right="565" w:firstLine="709"/>
        <w:jc w:val="both"/>
        <w:rPr>
          <w:rFonts w:ascii="Times New Roman" w:eastAsia="Times New Roman" w:hAnsi="Times New Roman"/>
          <w:color w:val="31849B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Работа рассчитана на научных сотрудников, преподавателей, студентов, аспирантов и всех интересующихся проблемами </w:t>
      </w:r>
      <w:r>
        <w:rPr>
          <w:color w:val="000000"/>
        </w:rPr>
        <w:t xml:space="preserve"> </w:t>
      </w:r>
      <w:r w:rsidRPr="006275BE">
        <w:rPr>
          <w:rFonts w:ascii="Times New Roman" w:hAnsi="Times New Roman"/>
          <w:color w:val="000000"/>
          <w:sz w:val="24"/>
          <w:szCs w:val="24"/>
        </w:rPr>
        <w:t>инновационно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6275BE">
        <w:rPr>
          <w:rFonts w:ascii="Times New Roman" w:hAnsi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6275BE">
        <w:rPr>
          <w:rFonts w:ascii="Times New Roman" w:hAnsi="Times New Roman"/>
          <w:color w:val="000000"/>
          <w:sz w:val="24"/>
          <w:szCs w:val="24"/>
        </w:rPr>
        <w:t xml:space="preserve"> экономики</w:t>
      </w:r>
      <w:r>
        <w:rPr>
          <w:rFonts w:ascii="Times New Roman" w:hAnsi="Times New Roman"/>
          <w:color w:val="000000"/>
          <w:sz w:val="24"/>
          <w:szCs w:val="24"/>
        </w:rPr>
        <w:t xml:space="preserve"> в контексте м</w:t>
      </w:r>
      <w:r w:rsidRPr="006275BE">
        <w:rPr>
          <w:rFonts w:ascii="Times New Roman" w:hAnsi="Times New Roman"/>
          <w:color w:val="000000"/>
          <w:sz w:val="24"/>
          <w:szCs w:val="24"/>
        </w:rPr>
        <w:t>еждисциплинарного взаимодействия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275B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>Редакционно-техническая поддержка:</w:t>
      </w:r>
    </w:p>
    <w:p w:rsidR="00C91498" w:rsidRPr="004D7B62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А.А.Илимбетова</w:t>
      </w:r>
      <w:proofErr w:type="spellEnd"/>
    </w:p>
    <w:p w:rsidR="00C91498" w:rsidRPr="00846E61" w:rsidRDefault="00C91498" w:rsidP="00C91498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>© Экономический факультет</w:t>
      </w:r>
    </w:p>
    <w:p w:rsidR="00C91498" w:rsidRPr="00846E61" w:rsidRDefault="00C91498" w:rsidP="00C9149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46E61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МГУ имени М.В. Ломоносова, 2014</w:t>
      </w:r>
    </w:p>
    <w:p w:rsidR="00C91498" w:rsidRDefault="00C91498" w:rsidP="00C9149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C91498" w:rsidRPr="00C91498" w:rsidRDefault="00C91498" w:rsidP="00C91498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D70381">
        <w:rPr>
          <w:rFonts w:ascii="Times New Roman" w:hAnsi="Times New Roman"/>
          <w:b/>
          <w:i/>
          <w:sz w:val="26"/>
          <w:szCs w:val="26"/>
        </w:rPr>
        <w:lastRenderedPageBreak/>
        <w:t>Лужин</w:t>
      </w:r>
      <w:r w:rsidRPr="00C9149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0381">
        <w:rPr>
          <w:rFonts w:ascii="Times New Roman" w:hAnsi="Times New Roman"/>
          <w:b/>
          <w:i/>
          <w:sz w:val="26"/>
          <w:szCs w:val="26"/>
        </w:rPr>
        <w:t>А</w:t>
      </w:r>
      <w:r w:rsidRPr="00C91498">
        <w:rPr>
          <w:rFonts w:ascii="Times New Roman" w:hAnsi="Times New Roman"/>
          <w:b/>
          <w:i/>
          <w:sz w:val="26"/>
          <w:szCs w:val="26"/>
        </w:rPr>
        <w:t>.</w:t>
      </w:r>
      <w:r w:rsidRPr="00D70381">
        <w:rPr>
          <w:rFonts w:ascii="Times New Roman" w:hAnsi="Times New Roman"/>
          <w:b/>
          <w:i/>
          <w:sz w:val="26"/>
          <w:szCs w:val="26"/>
        </w:rPr>
        <w:t>О</w:t>
      </w:r>
      <w:r w:rsidRPr="00C91498">
        <w:rPr>
          <w:rFonts w:ascii="Times New Roman" w:hAnsi="Times New Roman"/>
          <w:b/>
          <w:i/>
          <w:sz w:val="26"/>
          <w:szCs w:val="26"/>
        </w:rPr>
        <w:t>.</w:t>
      </w:r>
    </w:p>
    <w:p w:rsidR="00C91498" w:rsidRPr="00C91498" w:rsidRDefault="00C91498" w:rsidP="00C91498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D70381">
        <w:rPr>
          <w:rFonts w:ascii="Times New Roman" w:hAnsi="Times New Roman"/>
          <w:b/>
          <w:i/>
          <w:sz w:val="26"/>
          <w:szCs w:val="26"/>
        </w:rPr>
        <w:t>Трифонова</w:t>
      </w:r>
      <w:r w:rsidRPr="00C9149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70381">
        <w:rPr>
          <w:rFonts w:ascii="Times New Roman" w:hAnsi="Times New Roman"/>
          <w:b/>
          <w:i/>
          <w:sz w:val="26"/>
          <w:szCs w:val="26"/>
        </w:rPr>
        <w:t>Ю</w:t>
      </w:r>
      <w:r w:rsidRPr="00C91498">
        <w:rPr>
          <w:rFonts w:ascii="Times New Roman" w:hAnsi="Times New Roman"/>
          <w:b/>
          <w:i/>
          <w:sz w:val="26"/>
          <w:szCs w:val="26"/>
        </w:rPr>
        <w:t>.</w:t>
      </w:r>
      <w:r w:rsidRPr="00D70381">
        <w:rPr>
          <w:rFonts w:ascii="Times New Roman" w:hAnsi="Times New Roman"/>
          <w:b/>
          <w:i/>
          <w:sz w:val="26"/>
          <w:szCs w:val="26"/>
        </w:rPr>
        <w:t>С</w:t>
      </w:r>
      <w:r w:rsidRPr="00C91498">
        <w:rPr>
          <w:rFonts w:ascii="Times New Roman" w:hAnsi="Times New Roman"/>
          <w:b/>
          <w:i/>
          <w:sz w:val="26"/>
          <w:szCs w:val="26"/>
        </w:rPr>
        <w:t>.</w:t>
      </w:r>
    </w:p>
    <w:p w:rsidR="00C91498" w:rsidRPr="00D70381" w:rsidRDefault="00C91498" w:rsidP="00C91498">
      <w:pPr>
        <w:jc w:val="right"/>
        <w:rPr>
          <w:rFonts w:ascii="Times New Roman" w:hAnsi="Times New Roman"/>
          <w:b/>
          <w:i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b/>
          <w:i/>
          <w:sz w:val="26"/>
          <w:szCs w:val="26"/>
          <w:lang w:val="en-US"/>
        </w:rPr>
        <w:t>Univers</w:t>
      </w:r>
      <w:proofErr w:type="spellEnd"/>
      <w:r w:rsidRPr="00D70381">
        <w:rPr>
          <w:rFonts w:ascii="Times New Roman" w:hAnsi="Times New Roman"/>
          <w:b/>
          <w:i/>
          <w:sz w:val="26"/>
          <w:szCs w:val="26"/>
          <w:lang w:val="en-US"/>
        </w:rPr>
        <w:t>-Consulting LLC</w:t>
      </w:r>
    </w:p>
    <w:p w:rsidR="00C91498" w:rsidRPr="00262F8B" w:rsidRDefault="00C91498" w:rsidP="00C91498">
      <w:pPr>
        <w:jc w:val="right"/>
        <w:rPr>
          <w:rFonts w:ascii="Times New Roman" w:hAnsi="Times New Roman"/>
          <w:b/>
          <w:i/>
          <w:sz w:val="26"/>
          <w:szCs w:val="26"/>
          <w:lang w:val="en-US"/>
        </w:rPr>
      </w:pPr>
      <w:r w:rsidRPr="00D70381">
        <w:rPr>
          <w:rFonts w:ascii="Times New Roman" w:hAnsi="Times New Roman"/>
          <w:b/>
          <w:i/>
          <w:sz w:val="26"/>
          <w:szCs w:val="26"/>
        </w:rPr>
        <w:t>Шерешева</w:t>
      </w:r>
      <w:r w:rsidRPr="00262F8B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D70381">
        <w:rPr>
          <w:rFonts w:ascii="Times New Roman" w:hAnsi="Times New Roman"/>
          <w:b/>
          <w:i/>
          <w:sz w:val="26"/>
          <w:szCs w:val="26"/>
        </w:rPr>
        <w:t>М</w:t>
      </w:r>
      <w:r w:rsidRPr="00262F8B">
        <w:rPr>
          <w:rFonts w:ascii="Times New Roman" w:hAnsi="Times New Roman"/>
          <w:b/>
          <w:i/>
          <w:sz w:val="26"/>
          <w:szCs w:val="26"/>
          <w:lang w:val="en-US"/>
        </w:rPr>
        <w:t>.</w:t>
      </w:r>
      <w:r w:rsidRPr="00D70381">
        <w:rPr>
          <w:rFonts w:ascii="Times New Roman" w:hAnsi="Times New Roman"/>
          <w:b/>
          <w:i/>
          <w:sz w:val="26"/>
          <w:szCs w:val="26"/>
        </w:rPr>
        <w:t>Ю</w:t>
      </w:r>
      <w:r w:rsidRPr="00262F8B">
        <w:rPr>
          <w:rFonts w:ascii="Times New Roman" w:hAnsi="Times New Roman"/>
          <w:b/>
          <w:i/>
          <w:sz w:val="26"/>
          <w:szCs w:val="26"/>
          <w:lang w:val="en-US"/>
        </w:rPr>
        <w:t>.</w:t>
      </w:r>
    </w:p>
    <w:p w:rsidR="00C91498" w:rsidRPr="00D70381" w:rsidRDefault="00C91498" w:rsidP="00C91498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D70381">
        <w:rPr>
          <w:rFonts w:ascii="Times New Roman" w:hAnsi="Times New Roman"/>
          <w:b/>
          <w:i/>
          <w:sz w:val="26"/>
          <w:szCs w:val="26"/>
        </w:rPr>
        <w:t>д.э.н., профессор</w:t>
      </w:r>
    </w:p>
    <w:p w:rsidR="00C91498" w:rsidRPr="00D70381" w:rsidRDefault="00C91498" w:rsidP="00C91498">
      <w:pPr>
        <w:shd w:val="clear" w:color="auto" w:fill="FFFFFF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70381">
        <w:rPr>
          <w:rFonts w:ascii="Times New Roman" w:hAnsi="Times New Roman"/>
          <w:b/>
          <w:bCs/>
          <w:i/>
          <w:color w:val="000000"/>
          <w:sz w:val="26"/>
          <w:szCs w:val="26"/>
        </w:rPr>
        <w:t>МГУ имени М.В. Ломоносова</w:t>
      </w:r>
    </w:p>
    <w:p w:rsidR="00C91498" w:rsidRPr="00D70381" w:rsidRDefault="00C91498" w:rsidP="00C91498">
      <w:pPr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70381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Экономический факультет </w:t>
      </w:r>
    </w:p>
    <w:p w:rsidR="00C91498" w:rsidRPr="00D70381" w:rsidRDefault="00C91498" w:rsidP="00C91498">
      <w:pPr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70381">
        <w:rPr>
          <w:rFonts w:ascii="Times New Roman" w:hAnsi="Times New Roman"/>
          <w:b/>
          <w:bCs/>
          <w:i/>
          <w:color w:val="000000"/>
          <w:sz w:val="26"/>
          <w:szCs w:val="26"/>
        </w:rPr>
        <w:t>(г. Москва, Россия)</w:t>
      </w:r>
    </w:p>
    <w:p w:rsidR="00C91498" w:rsidRPr="00D70381" w:rsidRDefault="00C91498" w:rsidP="00C91498">
      <w:pPr>
        <w:tabs>
          <w:tab w:val="left" w:pos="284"/>
        </w:tabs>
        <w:ind w:left="142" w:firstLine="142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C91498" w:rsidRPr="00D70381" w:rsidRDefault="00C91498" w:rsidP="00C91498">
      <w:pPr>
        <w:tabs>
          <w:tab w:val="left" w:pos="284"/>
        </w:tabs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7038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Сети кинотеатров в России: преимущества и проблемы</w:t>
      </w:r>
      <w:r w:rsidRPr="00D70381">
        <w:rPr>
          <w:rFonts w:ascii="Times New Roman" w:hAnsi="Times New Roman"/>
          <w:b/>
          <w:sz w:val="26"/>
          <w:szCs w:val="26"/>
        </w:rPr>
        <w:t xml:space="preserve">  </w:t>
      </w:r>
    </w:p>
    <w:p w:rsidR="00C91498" w:rsidRPr="00D70381" w:rsidRDefault="00C91498" w:rsidP="00C91498">
      <w:pPr>
        <w:tabs>
          <w:tab w:val="left" w:pos="1134"/>
        </w:tabs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70381">
        <w:rPr>
          <w:rFonts w:ascii="Times New Roman" w:hAnsi="Times New Roman"/>
          <w:b/>
          <w:sz w:val="26"/>
          <w:szCs w:val="26"/>
        </w:rPr>
        <w:t>Аннотация</w:t>
      </w:r>
    </w:p>
    <w:p w:rsidR="00C91498" w:rsidRPr="008026B8" w:rsidRDefault="00C91498" w:rsidP="00C91498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i/>
          <w:sz w:val="26"/>
          <w:szCs w:val="26"/>
        </w:rPr>
        <w:t xml:space="preserve">В статье освещены вопросы, касающиеся развития сетей кинотеатров в России. Анализируются основные тенденции в российской киноиндустрии, выявляются ключевые факторы, способствующие развитию сетей кинотеатров. Показаны преимущества сетей кинотеатров, а также стоящие перед ними проблемы. Описаны позиции основных игроков рынка. Обозначена ключевая роль сетевой формы организации в создании конкурентных преимуществ, обусловленная комплексным характером современной услуги, предоставляемой кинотеатрами. </w:t>
      </w:r>
      <w:r w:rsidRPr="00D70381">
        <w:rPr>
          <w:rFonts w:ascii="Times New Roman" w:hAnsi="Times New Roman"/>
          <w:sz w:val="26"/>
          <w:szCs w:val="26"/>
        </w:rPr>
        <w:t xml:space="preserve"> </w:t>
      </w:r>
    </w:p>
    <w:p w:rsidR="00C91498" w:rsidRPr="008026B8" w:rsidRDefault="00C91498" w:rsidP="00C91498">
      <w:pPr>
        <w:tabs>
          <w:tab w:val="left" w:pos="1134"/>
        </w:tabs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C91498" w:rsidRPr="00D70381" w:rsidRDefault="00C91498" w:rsidP="00C91498">
      <w:pPr>
        <w:tabs>
          <w:tab w:val="left" w:pos="1080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b/>
          <w:sz w:val="26"/>
          <w:szCs w:val="26"/>
        </w:rPr>
        <w:t xml:space="preserve">Ключевые слова: </w:t>
      </w:r>
      <w:r w:rsidRPr="00D70381">
        <w:rPr>
          <w:rFonts w:ascii="Times New Roman" w:hAnsi="Times New Roman"/>
          <w:sz w:val="26"/>
          <w:szCs w:val="26"/>
          <w:lang w:eastAsia="ru-RU"/>
        </w:rPr>
        <w:t xml:space="preserve">киноиндустрия, сети кинотеатров, </w:t>
      </w:r>
      <w:r w:rsidRPr="00D70381">
        <w:rPr>
          <w:rStyle w:val="longtext"/>
          <w:rFonts w:ascii="Times New Roman" w:hAnsi="Times New Roman"/>
          <w:sz w:val="26"/>
          <w:szCs w:val="26"/>
        </w:rPr>
        <w:t>Россия</w:t>
      </w:r>
    </w:p>
    <w:p w:rsidR="00C91498" w:rsidRPr="00D70381" w:rsidRDefault="00C91498" w:rsidP="00C91498">
      <w:pPr>
        <w:tabs>
          <w:tab w:val="left" w:pos="1080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b/>
          <w:sz w:val="26"/>
          <w:szCs w:val="26"/>
          <w:lang w:val="en-US"/>
        </w:rPr>
        <w:t>JEL</w:t>
      </w:r>
      <w:r w:rsidRPr="00D70381">
        <w:rPr>
          <w:rFonts w:ascii="Times New Roman" w:hAnsi="Times New Roman"/>
          <w:b/>
          <w:sz w:val="26"/>
          <w:szCs w:val="26"/>
        </w:rPr>
        <w:t xml:space="preserve"> коды:</w:t>
      </w:r>
      <w:r w:rsidRPr="00D70381">
        <w:rPr>
          <w:rFonts w:ascii="Times New Roman" w:hAnsi="Times New Roman"/>
          <w:sz w:val="26"/>
          <w:szCs w:val="26"/>
        </w:rPr>
        <w:t xml:space="preserve"> L 820, M 310, D 210. </w:t>
      </w:r>
    </w:p>
    <w:p w:rsidR="00C91498" w:rsidRPr="00D70381" w:rsidRDefault="00C91498" w:rsidP="00C91498">
      <w:pPr>
        <w:ind w:firstLine="709"/>
        <w:jc w:val="both"/>
        <w:rPr>
          <w:rStyle w:val="hps"/>
          <w:rFonts w:ascii="Times New Roman" w:hAnsi="Times New Roman"/>
          <w:sz w:val="26"/>
          <w:szCs w:val="26"/>
          <w:highlight w:val="yellow"/>
        </w:rPr>
      </w:pPr>
    </w:p>
    <w:p w:rsidR="00C91498" w:rsidRPr="00D70381" w:rsidRDefault="00C91498" w:rsidP="00C91498">
      <w:pPr>
        <w:ind w:firstLine="709"/>
        <w:jc w:val="both"/>
        <w:rPr>
          <w:rStyle w:val="hps"/>
          <w:rFonts w:ascii="Times New Roman" w:hAnsi="Times New Roman"/>
          <w:sz w:val="26"/>
          <w:szCs w:val="26"/>
        </w:rPr>
      </w:pPr>
      <w:r w:rsidRPr="00D70381">
        <w:rPr>
          <w:rStyle w:val="hps"/>
          <w:rFonts w:ascii="Times New Roman" w:hAnsi="Times New Roman"/>
          <w:sz w:val="26"/>
          <w:szCs w:val="26"/>
        </w:rPr>
        <w:t>Опережающий рост сектора услуг является устойчивой тенденций развития современной мировой экономики [8; 15]. В этом секторе особое место принадлежит киноиндустрии. Эта отрасль играет важную роль в экономике многих стран и имеет хорошие перспективы развития на ближайшие годы [11; 13; 18]. Международные кассовые сборы увеличились на 32% в 2012 г. по сравнению с 2007 г., прежде всего вследствие быстрого роста рынков Китая, Бразилии и России [2].</w:t>
      </w:r>
    </w:p>
    <w:p w:rsidR="00C91498" w:rsidRPr="00D70381" w:rsidRDefault="00C91498" w:rsidP="00C91498">
      <w:pPr>
        <w:ind w:firstLine="709"/>
        <w:jc w:val="both"/>
        <w:rPr>
          <w:rStyle w:val="hps"/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color w:val="000000"/>
          <w:sz w:val="26"/>
          <w:szCs w:val="26"/>
        </w:rPr>
        <w:t>При этом в мировой киноиндустрии происходят серьезные изменения качественного характера [</w:t>
      </w:r>
      <w:r w:rsidRPr="00D70381">
        <w:rPr>
          <w:rFonts w:ascii="Times New Roman" w:hAnsi="Times New Roman"/>
          <w:sz w:val="26"/>
          <w:szCs w:val="26"/>
        </w:rPr>
        <w:t>5;</w:t>
      </w:r>
      <w:r w:rsidRPr="00D70381">
        <w:rPr>
          <w:rFonts w:ascii="Times New Roman" w:hAnsi="Times New Roman"/>
          <w:color w:val="000000"/>
          <w:sz w:val="26"/>
          <w:szCs w:val="26"/>
        </w:rPr>
        <w:t xml:space="preserve"> 14]. Они касаются не только появления новых </w:t>
      </w:r>
      <w:r w:rsidRPr="00D70381">
        <w:rPr>
          <w:rFonts w:ascii="Times New Roman" w:hAnsi="Times New Roman"/>
          <w:color w:val="000000"/>
          <w:sz w:val="26"/>
          <w:szCs w:val="26"/>
        </w:rPr>
        <w:lastRenderedPageBreak/>
        <w:t>технологий и связанных с ними направлений развития кинопроизводства [</w:t>
      </w:r>
      <w:r w:rsidRPr="00D70381">
        <w:rPr>
          <w:rFonts w:ascii="Times New Roman" w:hAnsi="Times New Roman"/>
          <w:sz w:val="26"/>
          <w:szCs w:val="26"/>
        </w:rPr>
        <w:t>10; 16; 19; 21]</w:t>
      </w:r>
      <w:r w:rsidRPr="00D70381">
        <w:rPr>
          <w:rFonts w:ascii="Times New Roman" w:hAnsi="Times New Roman"/>
          <w:color w:val="000000"/>
          <w:sz w:val="26"/>
          <w:szCs w:val="26"/>
        </w:rPr>
        <w:t>, но и способов продвижения и дистрибуции кинофильмов [6</w:t>
      </w:r>
      <w:r w:rsidRPr="00D70381">
        <w:rPr>
          <w:rFonts w:ascii="Times New Roman" w:hAnsi="Times New Roman"/>
          <w:sz w:val="26"/>
          <w:szCs w:val="26"/>
        </w:rPr>
        <w:t xml:space="preserve">; 7; 9; </w:t>
      </w:r>
      <w:r w:rsidRPr="00D70381">
        <w:rPr>
          <w:rFonts w:ascii="Times New Roman" w:hAnsi="Times New Roman"/>
          <w:color w:val="000000"/>
          <w:sz w:val="26"/>
          <w:szCs w:val="26"/>
        </w:rPr>
        <w:t xml:space="preserve">12; </w:t>
      </w:r>
      <w:r w:rsidRPr="00D70381">
        <w:rPr>
          <w:rFonts w:ascii="Times New Roman" w:hAnsi="Times New Roman"/>
          <w:sz w:val="26"/>
          <w:szCs w:val="26"/>
        </w:rPr>
        <w:t>20]</w:t>
      </w:r>
      <w:r w:rsidRPr="00D7038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D70381">
        <w:rPr>
          <w:rStyle w:val="hps"/>
          <w:rFonts w:ascii="Times New Roman" w:hAnsi="Times New Roman"/>
          <w:sz w:val="26"/>
          <w:szCs w:val="26"/>
        </w:rPr>
        <w:t xml:space="preserve">Это обусловлено растущим пониманием, что в современном секторе услуг, тем более в сфере развлечений, речь идет не просто о предоставлении услуги, а о способности формировать комплекс впечатлений, «производить» запоминающиеся события для своих клиентов. Как подчеркивают Дж. </w:t>
      </w:r>
      <w:proofErr w:type="spellStart"/>
      <w:r w:rsidRPr="00D70381">
        <w:rPr>
          <w:rStyle w:val="hps"/>
          <w:rFonts w:ascii="Times New Roman" w:hAnsi="Times New Roman"/>
          <w:sz w:val="26"/>
          <w:szCs w:val="26"/>
        </w:rPr>
        <w:t>Пайн</w:t>
      </w:r>
      <w:proofErr w:type="spellEnd"/>
      <w:r w:rsidRPr="00D70381">
        <w:rPr>
          <w:rStyle w:val="hps"/>
          <w:rFonts w:ascii="Times New Roman" w:hAnsi="Times New Roman"/>
          <w:sz w:val="26"/>
          <w:szCs w:val="26"/>
        </w:rPr>
        <w:t xml:space="preserve"> и Дж. </w:t>
      </w:r>
      <w:proofErr w:type="spellStart"/>
      <w:r w:rsidRPr="00D70381">
        <w:rPr>
          <w:rStyle w:val="hps"/>
          <w:rFonts w:ascii="Times New Roman" w:hAnsi="Times New Roman"/>
          <w:sz w:val="26"/>
          <w:szCs w:val="26"/>
        </w:rPr>
        <w:t>Гилмор</w:t>
      </w:r>
      <w:proofErr w:type="spellEnd"/>
      <w:r w:rsidRPr="00D70381">
        <w:rPr>
          <w:rStyle w:val="hps"/>
          <w:rFonts w:ascii="Times New Roman" w:hAnsi="Times New Roman"/>
          <w:sz w:val="26"/>
          <w:szCs w:val="26"/>
        </w:rPr>
        <w:t>, современная компания должна стать «режиссером впечатлений», а это требует совместных усилий компании, ее клиентов и партнеров, а зачастую и многих других заинтересованных сторон, использования новых бизнес-моделей [</w:t>
      </w:r>
      <w:r w:rsidRPr="00D70381">
        <w:rPr>
          <w:rFonts w:ascii="Times New Roman" w:hAnsi="Times New Roman"/>
          <w:sz w:val="26"/>
          <w:szCs w:val="26"/>
        </w:rPr>
        <w:t>17</w:t>
      </w:r>
      <w:r w:rsidRPr="00D70381">
        <w:rPr>
          <w:rStyle w:val="hps"/>
          <w:rFonts w:ascii="Times New Roman" w:hAnsi="Times New Roman"/>
          <w:sz w:val="26"/>
          <w:szCs w:val="26"/>
        </w:rPr>
        <w:t xml:space="preserve">]. </w:t>
      </w:r>
    </w:p>
    <w:p w:rsidR="00C91498" w:rsidRPr="00D70381" w:rsidRDefault="00C91498" w:rsidP="00C91498">
      <w:pPr>
        <w:ind w:firstLine="709"/>
        <w:jc w:val="both"/>
        <w:rPr>
          <w:rStyle w:val="hps"/>
          <w:rFonts w:ascii="Times New Roman" w:hAnsi="Times New Roman"/>
          <w:sz w:val="26"/>
          <w:szCs w:val="26"/>
        </w:rPr>
      </w:pPr>
      <w:r w:rsidRPr="00D70381">
        <w:rPr>
          <w:rStyle w:val="hps"/>
          <w:rFonts w:ascii="Times New Roman" w:hAnsi="Times New Roman"/>
          <w:sz w:val="26"/>
          <w:szCs w:val="26"/>
        </w:rPr>
        <w:t>Кино является одним из наиболее массовых развлечений россиян. Россия уверенно занимает место в первой десятке стран по уровню кассовых сборов от фильмов, выпущенных в прокат в этих странах.  Тем не менее, перед российским кинопрокатом, как и во всем мире, стоит вопрос о том, как сформировать комплексную кинотеатральную услугу, которая позволит привлечь зрителей, несмотря на рост привлекательности «домашних кинотеатров» и жесткую конкуренцию со стороны других массовых развлечений [1; 2].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Сегодня подавляющее большинство новых кинотеатров - это якорные арендаторы торгово-развлекательных центров (ТРЦ), одна из функций которых состоит в том, чтобы генерировать дополнительный поток посетителей. Постепенно основными игроками на рынке стали киносети, которые объединяют старые кинотеатры и создают новые мультиплексы.</w:t>
      </w:r>
      <w:r w:rsidRPr="00D70381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</w:p>
    <w:p w:rsidR="00C91498" w:rsidRPr="00D70381" w:rsidRDefault="00C91498" w:rsidP="00C91498">
      <w:pPr>
        <w:pStyle w:val="Default"/>
        <w:spacing w:line="360" w:lineRule="auto"/>
        <w:ind w:firstLine="708"/>
        <w:jc w:val="both"/>
        <w:rPr>
          <w:rStyle w:val="longtext"/>
          <w:sz w:val="26"/>
          <w:szCs w:val="26"/>
        </w:rPr>
      </w:pPr>
      <w:r w:rsidRPr="00D70381">
        <w:rPr>
          <w:rStyle w:val="longtext"/>
          <w:sz w:val="26"/>
          <w:szCs w:val="26"/>
        </w:rPr>
        <w:t xml:space="preserve">Сетевая форма ведения бизнеса в секторе услуг признана и исследователями, и практиками одним из лучших способов формирования узнаваемого имиджа и унифицированного продукта. </w:t>
      </w:r>
      <w:r w:rsidRPr="00D70381">
        <w:rPr>
          <w:sz w:val="26"/>
          <w:szCs w:val="26"/>
        </w:rPr>
        <w:t xml:space="preserve">Являясь одной из наиболее перспективных моделей организации и управления в современной киноиндустрии, сетевой механизм координации позволяет добиться эффекта синергии за счет совместного использования ресурсов, единой инфраструктуры и согласования стратегий, а также за счет единой маркетинговой политики [3; 4]. </w:t>
      </w:r>
      <w:r w:rsidRPr="00D70381">
        <w:rPr>
          <w:rStyle w:val="longtext"/>
          <w:sz w:val="26"/>
          <w:szCs w:val="26"/>
        </w:rPr>
        <w:t>Именно сетевые формы позволяют гарантировать потребителю высокое качество стандартизированной услуги в сочетании с ее комплексностью.</w:t>
      </w:r>
    </w:p>
    <w:p w:rsidR="00C91498" w:rsidRPr="00D70381" w:rsidRDefault="00C91498" w:rsidP="00C91498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D70381">
        <w:rPr>
          <w:sz w:val="26"/>
          <w:szCs w:val="26"/>
        </w:rPr>
        <w:t xml:space="preserve">Анализ данных, полученных в ходе проведенного авторами исследования, показывает, что в крупных российских городах сетевые кинотеатры занимают все </w:t>
      </w:r>
      <w:r w:rsidRPr="00D70381">
        <w:rPr>
          <w:sz w:val="26"/>
          <w:szCs w:val="26"/>
        </w:rPr>
        <w:lastRenderedPageBreak/>
        <w:t>большую долю рынка (табл.1). В частности, в Москве, Санкт-Петербурге, Новосибирске, Екатеринбурге, Нижнем Новгороде, Казани, Ростове-на-Дону и Уфе сетевых кинотеатров в настоящее время больше, чем несетевых. В Самаре, Челябинске, Волгограде и Перми сложилось практическое равенство между сетевыми и несетевыми кинотеатрами. В Омске и Красноярске пока больше несетевых киноцентров, хотя залов в сетевых кинотеатрах в Красноярске больше (15 против 11). Самое большое число киносетей, как и предполагалось  перед началом исследования, действуют в Москве и Санкт-Петербурге (18 и 12 киносетей, соответственно).  В остальных городах-миллионерах работают от 1 до 7 киносетей (в среднем  4).</w:t>
      </w:r>
    </w:p>
    <w:p w:rsidR="00C91498" w:rsidRPr="00D70381" w:rsidRDefault="00C91498" w:rsidP="00C91498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D70381">
        <w:rPr>
          <w:sz w:val="26"/>
          <w:szCs w:val="26"/>
        </w:rPr>
        <w:t>Широкой распространённости сетевых форм организации в сфере кинопоказа способствуют особенности современного кинотеатрального продукта как комплекса услуг, предоставляемых посетителям, разнообразных по форме и методам предоставления и объединённых единой концепцией. Современный кинотеатральный продукт можно рассматривать как совокупность трёх взаимосвязанных и последовательных элементов (рис.1):</w:t>
      </w:r>
    </w:p>
    <w:p w:rsidR="00C91498" w:rsidRPr="00D70381" w:rsidRDefault="00C91498" w:rsidP="00C914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D70381">
        <w:rPr>
          <w:rFonts w:ascii="Times New Roman" w:hAnsi="Times New Roman"/>
          <w:sz w:val="26"/>
          <w:szCs w:val="26"/>
          <w:u w:val="single"/>
        </w:rPr>
        <w:t>базовая концепция кинотеатрального продукта</w:t>
      </w:r>
      <w:r w:rsidRPr="00D70381">
        <w:rPr>
          <w:rFonts w:ascii="Times New Roman" w:hAnsi="Times New Roman"/>
          <w:sz w:val="26"/>
          <w:szCs w:val="26"/>
        </w:rPr>
        <w:t>, включающая в себя минимальный и абсолютно обязательный набор требований, выполнение которых необходимо для создания качественного кинотеатрального продукта;</w:t>
      </w:r>
    </w:p>
    <w:p w:rsidR="00C91498" w:rsidRPr="00D70381" w:rsidRDefault="00C91498" w:rsidP="00C914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D70381">
        <w:rPr>
          <w:rFonts w:ascii="Times New Roman" w:hAnsi="Times New Roman"/>
          <w:sz w:val="26"/>
          <w:szCs w:val="26"/>
          <w:u w:val="single"/>
        </w:rPr>
        <w:t>ключевой кинотеатральный продукт</w:t>
      </w:r>
      <w:r w:rsidRPr="00D70381">
        <w:rPr>
          <w:rFonts w:ascii="Times New Roman" w:hAnsi="Times New Roman"/>
          <w:sz w:val="26"/>
          <w:szCs w:val="26"/>
        </w:rPr>
        <w:t>, раскрывающий сущность трансформации, которая происходит с базовым кинотеатральным продуктом в процессе предоставления кинотеатральной услуги;</w:t>
      </w:r>
    </w:p>
    <w:p w:rsidR="00C91498" w:rsidRPr="00D70381" w:rsidRDefault="00C91498" w:rsidP="00C914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D70381">
        <w:rPr>
          <w:rFonts w:ascii="Times New Roman" w:hAnsi="Times New Roman"/>
          <w:sz w:val="26"/>
          <w:szCs w:val="26"/>
          <w:u w:val="single"/>
        </w:rPr>
        <w:t>расширенный кинотеатральный продукт</w:t>
      </w:r>
      <w:r w:rsidRPr="00D70381">
        <w:rPr>
          <w:rFonts w:ascii="Times New Roman" w:hAnsi="Times New Roman"/>
          <w:sz w:val="26"/>
          <w:szCs w:val="26"/>
        </w:rPr>
        <w:t xml:space="preserve">, содержащий в себе представление о возможном «ценностном» расширении предлагаемой услуги, что достигается благодаря различным подходам к </w:t>
      </w:r>
      <w:proofErr w:type="spellStart"/>
      <w:r w:rsidRPr="00D70381">
        <w:rPr>
          <w:rFonts w:ascii="Times New Roman" w:hAnsi="Times New Roman"/>
          <w:sz w:val="26"/>
          <w:szCs w:val="26"/>
        </w:rPr>
        <w:t>кастомизации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кинотеатрального предложения и добавлению в процесс обслуживания гостя нематериальных и уникальных элементов сервиса.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Для каждого элемента данной модели можно выделить особые характеристики, отражающие специфику кинотеатрального бизнеса и особенности предложения кинотеатральной услуги, ее комплексный характер, служащие стимулами к формированию сетевых форм организации кинотеатрального бизнеса.</w:t>
      </w:r>
    </w:p>
    <w:p w:rsidR="00C91498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lastRenderedPageBreak/>
        <w:t>Стремясь к получению определённых стратегических и операционных результатов, компании, действующие на кинорынке, обращаются к  сетевой форме организации бизнеса как способу обеспечить стабильную и эффективную организационную основу для воплощения в жизнь намеченных ориентиров. Кинотеатральная услуга состоит из множества взаимосвязанных процессов и создаётся различными специалистами, поэтому крайне важны кооперация и координация между различными кинотеатрами и их работниками. Необходимый контроль и учёт деталей предоставления кинотеатрального продукта наиболее эффективен в рамках сетевой формы организации. Возможность трансферта важной информации и стратегических активов между кинотеатрами-участниками сети позволяет не только поддерживать уровень стандартов и необходимое качество обслуживания во всех сетевых кинотеатрах, но и обобщать информацию о клиентах, которую можно в дальнейшем использовать в программах лояльности.</w:t>
      </w:r>
    </w:p>
    <w:p w:rsidR="00C91498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055"/>
        <w:gridCol w:w="6761"/>
      </w:tblGrid>
      <w:tr w:rsidR="00C91498" w:rsidRPr="00303EB3" w:rsidTr="008050BC">
        <w:tc>
          <w:tcPr>
            <w:tcW w:w="27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303EB3">
              <w:rPr>
                <w:rFonts w:ascii="Times New Roman" w:eastAsia="Times New Roman" w:hAnsi="Times New Roman"/>
                <w:i/>
              </w:rPr>
              <w:t>Параметры:</w:t>
            </w:r>
          </w:p>
        </w:tc>
      </w:tr>
      <w:tr w:rsidR="00C91498" w:rsidRPr="00303EB3" w:rsidTr="008050BC">
        <w:trPr>
          <w:cantSplit/>
          <w:trHeight w:val="1134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C91498" w:rsidRPr="00303EB3" w:rsidRDefault="00C91498" w:rsidP="008050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03EB3">
              <w:rPr>
                <w:rFonts w:ascii="Times New Roman" w:eastAsia="Times New Roman" w:hAnsi="Times New Roman"/>
                <w:b/>
              </w:rPr>
              <w:t>Вход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Базовая концепция кинотеатрального продукта</w:t>
            </w:r>
          </w:p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1. Наличие фильма</w:t>
            </w:r>
          </w:p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2. Требования к качественному воспроизведению видео и звука</w:t>
            </w:r>
          </w:p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91498" w:rsidRPr="00303EB3" w:rsidTr="008050BC">
        <w:trPr>
          <w:cantSplit/>
          <w:trHeight w:val="2112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C91498" w:rsidRPr="00303EB3" w:rsidRDefault="00C91498" w:rsidP="008050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03EB3">
              <w:rPr>
                <w:rFonts w:ascii="Times New Roman" w:eastAsia="Times New Roman" w:hAnsi="Times New Roman"/>
                <w:b/>
              </w:rPr>
              <w:t>Трансформация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Ключевой кинотеатральный продукт</w:t>
            </w:r>
          </w:p>
        </w:tc>
        <w:tc>
          <w:tcPr>
            <w:tcW w:w="6761" w:type="dxa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1. Появление дополнительных услуг (помимо кинопоказа)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2. Сбор информации о клиентах (определение их потребностей)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3. Работа над деталями (интерьер кинотеатра, удобства)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4. Сознательное культивирование нематериальных составляющих услуги (например, качественное репертуарное планирование)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 w:rsidRPr="00303EB3">
              <w:rPr>
                <w:rFonts w:ascii="Times New Roman" w:eastAsia="Times New Roman" w:hAnsi="Times New Roman"/>
              </w:rPr>
              <w:t>Кастомизация</w:t>
            </w:r>
            <w:proofErr w:type="spellEnd"/>
            <w:r w:rsidRPr="00303EB3">
              <w:rPr>
                <w:rFonts w:ascii="Times New Roman" w:eastAsia="Times New Roman" w:hAnsi="Times New Roman"/>
              </w:rPr>
              <w:t xml:space="preserve"> услуги (например, появление </w:t>
            </w:r>
            <w:r w:rsidRPr="00303EB3">
              <w:rPr>
                <w:rFonts w:ascii="Times New Roman" w:eastAsia="Times New Roman" w:hAnsi="Times New Roman"/>
                <w:lang w:val="en-US"/>
              </w:rPr>
              <w:t>VIP</w:t>
            </w:r>
            <w:r w:rsidRPr="00303EB3">
              <w:rPr>
                <w:rFonts w:ascii="Times New Roman" w:eastAsia="Times New Roman" w:hAnsi="Times New Roman"/>
              </w:rPr>
              <w:t>-залов)</w:t>
            </w:r>
          </w:p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6. Постоянная работа над повышением эффективности предоставления услуги (использование новейших технологий)</w:t>
            </w:r>
          </w:p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7. Развитие персонала</w:t>
            </w:r>
          </w:p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8. Появление льгот</w:t>
            </w:r>
          </w:p>
        </w:tc>
      </w:tr>
      <w:tr w:rsidR="00C91498" w:rsidRPr="00303EB3" w:rsidTr="008050BC">
        <w:tc>
          <w:tcPr>
            <w:tcW w:w="2703" w:type="dxa"/>
            <w:gridSpan w:val="2"/>
            <w:tcBorders>
              <w:left w:val="nil"/>
            </w:tcBorders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303EB3">
              <w:rPr>
                <w:rFonts w:ascii="Times New Roman" w:eastAsia="Times New Roman" w:hAnsi="Times New Roman"/>
                <w:i/>
              </w:rPr>
              <w:t xml:space="preserve">Продление ключевого продукта за счёт </w:t>
            </w:r>
            <w:proofErr w:type="spellStart"/>
            <w:r w:rsidRPr="00303EB3">
              <w:rPr>
                <w:rFonts w:ascii="Times New Roman" w:eastAsia="Times New Roman" w:hAnsi="Times New Roman"/>
                <w:i/>
              </w:rPr>
              <w:t>субуслуг</w:t>
            </w:r>
            <w:proofErr w:type="spellEnd"/>
          </w:p>
        </w:tc>
      </w:tr>
      <w:tr w:rsidR="00C91498" w:rsidRPr="00303EB3" w:rsidTr="008050BC">
        <w:trPr>
          <w:cantSplit/>
          <w:trHeight w:val="1134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C91498" w:rsidRPr="00303EB3" w:rsidRDefault="00C91498" w:rsidP="008050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03EB3">
              <w:rPr>
                <w:rFonts w:ascii="Times New Roman" w:eastAsia="Times New Roman" w:hAnsi="Times New Roman"/>
                <w:b/>
              </w:rPr>
              <w:t>Выход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Расширенный кинотеатральный продукт</w:t>
            </w:r>
          </w:p>
        </w:tc>
        <w:tc>
          <w:tcPr>
            <w:tcW w:w="6761" w:type="dxa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1. Нематериальный характер результата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2. Покупка «ожидания», экономика впечатлений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3. Производство и потребление совпадают во времени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4. Потребитель – часть процесса. Персонал – часть процесса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5. Маркетинговая поддержка бренда (</w:t>
            </w:r>
            <w:r w:rsidRPr="00303EB3">
              <w:rPr>
                <w:rFonts w:ascii="Times New Roman" w:eastAsia="Times New Roman" w:hAnsi="Times New Roman"/>
                <w:lang w:val="en-US"/>
              </w:rPr>
              <w:t>PR</w:t>
            </w:r>
            <w:r w:rsidRPr="00303EB3">
              <w:rPr>
                <w:rFonts w:ascii="Times New Roman" w:eastAsia="Times New Roman" w:hAnsi="Times New Roman"/>
              </w:rPr>
              <w:t>, реклама для повышения информированности)</w:t>
            </w:r>
          </w:p>
          <w:p w:rsidR="00C91498" w:rsidRPr="00303EB3" w:rsidRDefault="00C91498" w:rsidP="008050B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6. Обширный спектр основных и вспомогательных услуг, дифференциация предложения</w:t>
            </w:r>
          </w:p>
        </w:tc>
      </w:tr>
      <w:tr w:rsidR="00C91498" w:rsidRPr="00303EB3" w:rsidTr="008050BC">
        <w:tc>
          <w:tcPr>
            <w:tcW w:w="9464" w:type="dxa"/>
            <w:gridSpan w:val="3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Стратегический и операционный результат: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Долгосрочные отношения с постоянными кинозрителями (</w:t>
            </w:r>
            <w:proofErr w:type="spellStart"/>
            <w:r w:rsidRPr="00303EB3">
              <w:rPr>
                <w:rFonts w:ascii="Times New Roman" w:eastAsia="Times New Roman" w:hAnsi="Times New Roman"/>
              </w:rPr>
              <w:t>скидочные</w:t>
            </w:r>
            <w:proofErr w:type="spellEnd"/>
            <w:r w:rsidRPr="00303EB3">
              <w:rPr>
                <w:rFonts w:ascii="Times New Roman" w:eastAsia="Times New Roman" w:hAnsi="Times New Roman"/>
              </w:rPr>
              <w:t xml:space="preserve"> карты постоянного посетителя)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lastRenderedPageBreak/>
              <w:t>Повторные визиты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Лояльность к бренду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Стабильная загрузка кинотеатральных залов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Уникальный и узнаваемый стиль/имидж/бренд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 xml:space="preserve">Повышение скорости обслуживания (особенно в </w:t>
            </w:r>
            <w:proofErr w:type="spellStart"/>
            <w:r w:rsidRPr="00303EB3">
              <w:rPr>
                <w:rFonts w:ascii="Times New Roman" w:eastAsia="Times New Roman" w:hAnsi="Times New Roman"/>
              </w:rPr>
              <w:t>кинобарах</w:t>
            </w:r>
            <w:proofErr w:type="spellEnd"/>
            <w:r w:rsidRPr="00303EB3">
              <w:rPr>
                <w:rFonts w:ascii="Times New Roman" w:eastAsia="Times New Roman" w:hAnsi="Times New Roman"/>
              </w:rPr>
              <w:t>)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Развитая способность постоянного совершенствования ключевого кинотеатрального продукта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</w:rPr>
              <w:t>Постоянство качества и однородность кинотеатрального продукта (единый формат кинотеатров)</w:t>
            </w:r>
          </w:p>
          <w:p w:rsidR="00C91498" w:rsidRPr="00303EB3" w:rsidRDefault="00C91498" w:rsidP="00C9149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16AD5" wp14:editId="0B9C310B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132715</wp:posOffset>
                      </wp:positionV>
                      <wp:extent cx="9525" cy="247650"/>
                      <wp:effectExtent l="38100" t="0" r="66675" b="5715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02CA5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52.45pt;margin-top:10.45pt;width: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303EB3">
              <w:rPr>
                <w:rFonts w:ascii="Times New Roman" w:eastAsia="Times New Roman" w:hAnsi="Times New Roman"/>
              </w:rPr>
              <w:t>Кастомизация</w:t>
            </w:r>
            <w:proofErr w:type="spellEnd"/>
            <w:r w:rsidRPr="00303EB3">
              <w:rPr>
                <w:rFonts w:ascii="Times New Roman" w:eastAsia="Times New Roman" w:hAnsi="Times New Roman"/>
              </w:rPr>
              <w:t xml:space="preserve"> при базовой стандартизации</w:t>
            </w:r>
          </w:p>
        </w:tc>
      </w:tr>
      <w:tr w:rsidR="00C91498" w:rsidRPr="00303EB3" w:rsidTr="008050BC"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91498" w:rsidRPr="00303EB3" w:rsidTr="008050BC">
        <w:tc>
          <w:tcPr>
            <w:tcW w:w="9464" w:type="dxa"/>
            <w:gridSpan w:val="3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03EB3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2274D" wp14:editId="0D7A6036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111760</wp:posOffset>
                      </wp:positionV>
                      <wp:extent cx="9525" cy="247650"/>
                      <wp:effectExtent l="38100" t="0" r="66675" b="5715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95CB57" id="AutoShape 7" o:spid="_x0000_s1026" type="#_x0000_t32" style="position:absolute;margin-left:252.45pt;margin-top:8.8pt;width: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303EB3">
              <w:rPr>
                <w:rFonts w:ascii="Times New Roman" w:eastAsia="Times New Roman" w:hAnsi="Times New Roman"/>
              </w:rPr>
              <w:t>Комплексный характер кинотеатральной услуги</w:t>
            </w:r>
          </w:p>
        </w:tc>
      </w:tr>
      <w:tr w:rsidR="00C91498" w:rsidRPr="00303EB3" w:rsidTr="008050BC"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91498" w:rsidRPr="00303EB3" w:rsidTr="008050BC">
        <w:tc>
          <w:tcPr>
            <w:tcW w:w="9464" w:type="dxa"/>
            <w:gridSpan w:val="3"/>
            <w:shd w:val="clear" w:color="auto" w:fill="auto"/>
          </w:tcPr>
          <w:p w:rsidR="00C91498" w:rsidRPr="00303EB3" w:rsidRDefault="00C91498" w:rsidP="008050B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03EB3">
              <w:rPr>
                <w:rFonts w:ascii="Times New Roman" w:eastAsia="Times New Roman" w:hAnsi="Times New Roman"/>
                <w:b/>
              </w:rPr>
              <w:t>Стремление к сетевым формам организации кинотеатрального бизнеса</w:t>
            </w:r>
          </w:p>
        </w:tc>
      </w:tr>
    </w:tbl>
    <w:p w:rsidR="00C91498" w:rsidRPr="00303EB3" w:rsidRDefault="00C91498" w:rsidP="00C91498">
      <w:pPr>
        <w:ind w:firstLine="709"/>
        <w:jc w:val="both"/>
        <w:rPr>
          <w:rFonts w:ascii="Times New Roman" w:hAnsi="Times New Roman"/>
        </w:rPr>
      </w:pPr>
      <w:r w:rsidRPr="00303EB3">
        <w:rPr>
          <w:rFonts w:ascii="Times New Roman" w:hAnsi="Times New Roman"/>
          <w:i/>
        </w:rPr>
        <w:t xml:space="preserve">Рис. 1. </w:t>
      </w:r>
      <w:r w:rsidRPr="00303EB3">
        <w:rPr>
          <w:rFonts w:ascii="Times New Roman" w:hAnsi="Times New Roman"/>
        </w:rPr>
        <w:t>Модель кинотеатрального продукта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70381">
        <w:rPr>
          <w:rFonts w:ascii="Times New Roman" w:hAnsi="Times New Roman"/>
          <w:i/>
          <w:sz w:val="26"/>
          <w:szCs w:val="26"/>
        </w:rPr>
        <w:t>Источник:</w:t>
      </w:r>
      <w:r w:rsidRPr="00D70381">
        <w:rPr>
          <w:rFonts w:ascii="Times New Roman" w:hAnsi="Times New Roman"/>
          <w:sz w:val="26"/>
          <w:szCs w:val="26"/>
        </w:rPr>
        <w:t xml:space="preserve"> </w:t>
      </w:r>
      <w:r w:rsidRPr="00D70381">
        <w:rPr>
          <w:rFonts w:ascii="Times New Roman" w:hAnsi="Times New Roman"/>
          <w:i/>
          <w:sz w:val="26"/>
          <w:szCs w:val="26"/>
        </w:rPr>
        <w:t>Разработано авторами</w:t>
      </w:r>
      <w:r w:rsidRPr="00D70381">
        <w:rPr>
          <w:rFonts w:ascii="Times New Roman" w:hAnsi="Times New Roman"/>
          <w:sz w:val="26"/>
          <w:szCs w:val="26"/>
        </w:rPr>
        <w:t xml:space="preserve">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 xml:space="preserve">Большинство российских киносетей обладает высокими стандартами обслуживания, едиными для всех кинотеатров одной сети. К таким стандартам относятся: профессионализм сотрудников, наличие цифровых кинозалов, качественное репертуарное планирование, единый сайт с информацией о кинотеатрах, репертуаре, расписании сеансов и пр., единая телефонная справочная служба, услуги по бронированию и покупке билетов, льготы пенсионерам и студентам и т.д. Однако далеко не все российские киносети обладают одинаковым форматом своих кинотеатров.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Проблема в том, что часть кинотеатров некоторых киносетей являются реконструкциями советских кинотеатров, и часто их формат невозможно подогнать под формат абсолютно новых кинотеатров, например, расширить фойе, обустроить достаточное количество залов, касс и несколько точек питания, чтобы избежать очередей, удобно расположить залы, сделать стены звуконепроницаемыми, оборудовать комфортабельные туалеты, и т.д. Разный формат кинотеатров одной сети вводит в заблуждение потребителей. Один «слабый» кинотеатр, если его формат окажется недостаточно удобным и приемлемым для посетителя, способен нанести серьезный ущерб репутации всех кинотеатров сети. Негативные впечатления и отрицательные эмоции связываются в памяти потребителя с названием кинотеатра, и в дальнейшем негатив переносится на остальные кинотеатры с тем же названием.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В этой связи развитие сети требует очень внимательного подхода, особенно если это развитие путем поглощения. Так, 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Парк» при осуществлении </w:t>
      </w:r>
      <w:r w:rsidRPr="00D70381">
        <w:rPr>
          <w:rFonts w:ascii="Times New Roman" w:hAnsi="Times New Roman"/>
          <w:sz w:val="26"/>
          <w:szCs w:val="26"/>
        </w:rPr>
        <w:lastRenderedPageBreak/>
        <w:t>решения усилить свои позиции на рынке вела себя очень разборчиво к выбираемому объекту поглощения, чтобы избежать различий в формате. Объемный список требований, предъявляемых в 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Парке» к стандартам и форматам кинотеатров, сделал большинство рассматриваемых объектов непригодными для поглощения активами. Единственным исключением оказался «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Kinostar</w:t>
      </w:r>
      <w:proofErr w:type="spellEnd"/>
      <w:r w:rsidRPr="00D70381">
        <w:rPr>
          <w:rFonts w:ascii="Times New Roman" w:hAnsi="Times New Roman"/>
          <w:sz w:val="26"/>
          <w:szCs w:val="26"/>
        </w:rPr>
        <w:t>». Соответственно, кинотеатры данной сети обладают не только едиными стандартами обслуживания, но единым форматом. Как результат, зрители делают выбор в пользу 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Парка», кассовые сборы и посещаемость не раз становились поводами для награждения в номинациях «Лучшие кинотеатры России».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Именно при таком внимательном подходе к развитию становится возможным реализовать преимущества киносетей по сравнению с отдельными кинотеатрами, позволяющие им стремительно развиваться и быть успешными: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бренд, узнаваемый и воспринимаемый потребителями услуг сети как гарантия качества, обещающий выполнение определённых стандартов обслуживания киносети (тех, которых ожидают от неё потребители), что позволяет привлекать и сохранять клиентов;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снижения издержек на оборудование кинозалов за счёт эффекта масштаба;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снижение издержек на закупку фильмов (прав на показ кинокартин);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снижение издержек на услуги по предоставлению еды и напитков (услуги кафе и баров, среди которых тоже есть сетевые);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снижение затрат на рекламу;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снижение затрат при управлении (за счёт создания общей базы знаний о кинорынке и обмена необходимыми компетенциями);</w:t>
      </w:r>
    </w:p>
    <w:p w:rsidR="00C91498" w:rsidRPr="00D70381" w:rsidRDefault="00C91498" w:rsidP="00C914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максимизация совокупных доходов за счет возникновения сетевого синергетического эффекта.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Среди тенденций последних лет стоит отметить начавшийся процесс слияний и поглощений. В качестве примеров можно привести уже упомянутую выше покупку сети «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Kinostar</w:t>
      </w:r>
      <w:proofErr w:type="spellEnd"/>
      <w:r w:rsidRPr="00D70381">
        <w:rPr>
          <w:rFonts w:ascii="Times New Roman" w:hAnsi="Times New Roman"/>
          <w:sz w:val="26"/>
          <w:szCs w:val="26"/>
        </w:rPr>
        <w:t>» компанией 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Парк» (2011), а также объединение </w:t>
      </w:r>
      <w:r w:rsidRPr="00D70381">
        <w:rPr>
          <w:rFonts w:ascii="Times New Roman" w:eastAsia="Times New Roman" w:hAnsi="Times New Roman"/>
          <w:kern w:val="36"/>
          <w:sz w:val="26"/>
          <w:szCs w:val="26"/>
        </w:rPr>
        <w:t xml:space="preserve">«Формулы кино» и «Кронверк </w:t>
      </w:r>
      <w:proofErr w:type="spellStart"/>
      <w:r w:rsidRPr="00D70381">
        <w:rPr>
          <w:rFonts w:ascii="Times New Roman" w:eastAsia="Times New Roman" w:hAnsi="Times New Roman"/>
          <w:kern w:val="36"/>
          <w:sz w:val="26"/>
          <w:szCs w:val="26"/>
        </w:rPr>
        <w:t>Синема</w:t>
      </w:r>
      <w:proofErr w:type="spellEnd"/>
      <w:r w:rsidRPr="00D70381">
        <w:rPr>
          <w:rFonts w:ascii="Times New Roman" w:eastAsia="Times New Roman" w:hAnsi="Times New Roman"/>
          <w:kern w:val="36"/>
          <w:sz w:val="26"/>
          <w:szCs w:val="26"/>
        </w:rPr>
        <w:t xml:space="preserve">» (2012). Укрепляют своё </w:t>
      </w:r>
      <w:r w:rsidRPr="00D70381">
        <w:rPr>
          <w:rFonts w:ascii="Times New Roman" w:eastAsia="Times New Roman" w:hAnsi="Times New Roman"/>
          <w:kern w:val="36"/>
          <w:sz w:val="26"/>
          <w:szCs w:val="26"/>
        </w:rPr>
        <w:lastRenderedPageBreak/>
        <w:t>положение федеральные лидеры: «</w:t>
      </w:r>
      <w:proofErr w:type="spellStart"/>
      <w:r w:rsidRPr="00D70381">
        <w:rPr>
          <w:rFonts w:ascii="Times New Roman" w:eastAsia="Times New Roman" w:hAnsi="Times New Roman"/>
          <w:kern w:val="36"/>
          <w:sz w:val="26"/>
          <w:szCs w:val="26"/>
        </w:rPr>
        <w:t>Каро</w:t>
      </w:r>
      <w:proofErr w:type="spellEnd"/>
      <w:r w:rsidRPr="00D70381">
        <w:rPr>
          <w:rFonts w:ascii="Times New Roman" w:eastAsia="Times New Roman" w:hAnsi="Times New Roman"/>
          <w:kern w:val="36"/>
          <w:sz w:val="26"/>
          <w:szCs w:val="26"/>
        </w:rPr>
        <w:t xml:space="preserve"> фильм», </w:t>
      </w:r>
      <w:r w:rsidRPr="00D70381">
        <w:rPr>
          <w:rFonts w:ascii="Times New Roman" w:hAnsi="Times New Roman"/>
          <w:sz w:val="26"/>
          <w:szCs w:val="26"/>
        </w:rPr>
        <w:t>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Парк», «</w:t>
      </w:r>
      <w:proofErr w:type="spellStart"/>
      <w:r w:rsidRPr="00D70381">
        <w:rPr>
          <w:rFonts w:ascii="Times New Roman" w:hAnsi="Times New Roman"/>
          <w:sz w:val="26"/>
          <w:szCs w:val="26"/>
        </w:rPr>
        <w:t>Киномакс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» и «Формула кино».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 xml:space="preserve">Если говорить о типах сетевых организаций, выявленных в ходе исследования российского кинорынка, то следует, в первую очередь, провести различие между внутриорганизационной и </w:t>
      </w:r>
      <w:proofErr w:type="spellStart"/>
      <w:r w:rsidRPr="00D70381">
        <w:rPr>
          <w:rFonts w:ascii="Times New Roman" w:hAnsi="Times New Roman"/>
          <w:sz w:val="26"/>
          <w:szCs w:val="26"/>
        </w:rPr>
        <w:t>межорганизационной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сетью [3]. Среди российских кинотеатральных сетей встречаются оба типа.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 xml:space="preserve">Внутриорганизационная сеть представляет собой совокупность индивидов и подразделений в рамках одних и тех же юридически определённых границ, в то время как </w:t>
      </w:r>
      <w:proofErr w:type="spellStart"/>
      <w:r w:rsidRPr="00D70381">
        <w:rPr>
          <w:rFonts w:ascii="Times New Roman" w:hAnsi="Times New Roman"/>
          <w:sz w:val="26"/>
          <w:szCs w:val="26"/>
        </w:rPr>
        <w:t>межорганизационная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сеть является коалицией независимых экономических субъектов [4]. Так, сеть кинотеатров «</w:t>
      </w:r>
      <w:proofErr w:type="spellStart"/>
      <w:r w:rsidRPr="00D70381">
        <w:rPr>
          <w:rFonts w:ascii="Times New Roman" w:hAnsi="Times New Roman"/>
          <w:sz w:val="26"/>
          <w:szCs w:val="26"/>
        </w:rPr>
        <w:t>Синема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Парк» - это закрытое акционерное общество, которое, согласно уставу, может создавать филиалы и открывать представительства на территории РФ и за её пределами. Все приобретаемые ресурсы, необходимые для оказания кинотеатральной услуги, распределяются между филиалами. К положительным чертам этого типа кинотеатральных сетей относится  уверенность всех кинотеатров сети в постоянном полном обеспечении. В то же время, в рамках такого типа сети возможность быстрого расширения сети сравнительно невысока.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Межфирменные сети на российском кинотеатральном рынке зачастую строятся по системе франчайзинга. В качестве примера можно назвать сеть кинотеатров «</w:t>
      </w:r>
      <w:proofErr w:type="spellStart"/>
      <w:r w:rsidRPr="00D70381">
        <w:rPr>
          <w:rFonts w:ascii="Times New Roman" w:hAnsi="Times New Roman"/>
          <w:sz w:val="26"/>
          <w:szCs w:val="26"/>
        </w:rPr>
        <w:t>Киномакс</w:t>
      </w:r>
      <w:proofErr w:type="spellEnd"/>
      <w:r w:rsidRPr="00D70381">
        <w:rPr>
          <w:rFonts w:ascii="Times New Roman" w:hAnsi="Times New Roman"/>
          <w:sz w:val="26"/>
          <w:szCs w:val="26"/>
        </w:rPr>
        <w:t>». Помимо аренды помещений для кинотеатров, покупки и строительства кинотеатров, «</w:t>
      </w:r>
      <w:proofErr w:type="spellStart"/>
      <w:r w:rsidRPr="00D70381">
        <w:rPr>
          <w:rFonts w:ascii="Times New Roman" w:hAnsi="Times New Roman"/>
          <w:sz w:val="26"/>
          <w:szCs w:val="26"/>
        </w:rPr>
        <w:t>Киномакс</w:t>
      </w:r>
      <w:proofErr w:type="spellEnd"/>
      <w:r w:rsidRPr="00D70381">
        <w:rPr>
          <w:rFonts w:ascii="Times New Roman" w:hAnsi="Times New Roman"/>
          <w:sz w:val="26"/>
          <w:szCs w:val="26"/>
        </w:rPr>
        <w:t>» предоставляет возможность открыть киноцентр в каком-либо городе под своей торговой маркой по системе франчайзинга. К положительным сторонам такой бизнес-модели относится, прежде всего, возможность быстрого расширения сети: желающих воспользоваться шансом довольно много. Однако «</w:t>
      </w:r>
      <w:proofErr w:type="spellStart"/>
      <w:r w:rsidRPr="00D70381">
        <w:rPr>
          <w:rFonts w:ascii="Times New Roman" w:hAnsi="Times New Roman"/>
          <w:sz w:val="26"/>
          <w:szCs w:val="26"/>
        </w:rPr>
        <w:t>Киномакс</w:t>
      </w:r>
      <w:proofErr w:type="spellEnd"/>
      <w:r w:rsidRPr="00D70381">
        <w:rPr>
          <w:rFonts w:ascii="Times New Roman" w:hAnsi="Times New Roman"/>
          <w:sz w:val="26"/>
          <w:szCs w:val="26"/>
        </w:rPr>
        <w:t>» часто отказывает в предоставлении франшизы, если есть риск, что потенциальный партнёр не сможет уделять достаточное внимание техническим параметрам кинотеатра, оформлению и дизайну залов, квалификации обслуживающего персонала. Это обоснованное поведение, поскольку одним из слабых мест франчайзинга является опасность размывания имиджа и потери репутации [3; 8], и «</w:t>
      </w:r>
      <w:proofErr w:type="spellStart"/>
      <w:r w:rsidRPr="00D70381">
        <w:rPr>
          <w:rFonts w:ascii="Times New Roman" w:hAnsi="Times New Roman"/>
          <w:sz w:val="26"/>
          <w:szCs w:val="26"/>
        </w:rPr>
        <w:t>Киностар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» стремится избежать риска снижения высоких стандартов качества, с которыми ассоциируются кинотеатры этой сети.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lastRenderedPageBreak/>
        <w:t>Другой тип межфирменных сетей на российском кинотеатральном рынке – сети малых и средних фирм, кооперирующихся для взаимного обучения и достижения целей, непосильных для каждого из участников в силу их размера и ограниченности ресурсов. Примером может служить сеть муниципальных кинотеатров в Краснодарском Крае, существенную роль в которой играет государственное автономное учреждение культуры Краснодарского края «</w:t>
      </w:r>
      <w:proofErr w:type="spellStart"/>
      <w:r w:rsidRPr="00D70381">
        <w:rPr>
          <w:rFonts w:ascii="Times New Roman" w:hAnsi="Times New Roman"/>
          <w:sz w:val="26"/>
          <w:szCs w:val="26"/>
        </w:rPr>
        <w:t>Кубанькино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». Оно оказывает своим кинотеатрам следующие услуги: прокат кинофильмов (включая составление репертуарных планов), организация киномероприятий, техническое обеспечение, консультативно-методическое обслуживание (разработка форм работы с кинозрителями, программ по эстетическому воспитанию детей, способов продвижения кинофильмов и многое другое). </w:t>
      </w:r>
    </w:p>
    <w:p w:rsidR="00C91498" w:rsidRPr="00D70381" w:rsidRDefault="00C91498" w:rsidP="00C9149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 xml:space="preserve">Таким образом, можно сделать вывод о постепенном развитии сетевых форм организации в российской киноиндустрии. Однако сети получили достаточно широкое распространение только в крупных городах, в то время как в целом по России их потенциал еще остается недоиспользованным. Можно прогнозировать дальнейший рост числа и размеров киносетей, поскольку этому способствует характер предоставляемых кинотеатрами услуг. Взаимодействие между участниками сети и обмен компетенциями и знаниями, существующими в отрасли, позволяют не только нейтрализовать возможные недостатки и слабости каждого участника сети, но и создать комплексный конечный продукт, обладающий ценностью для потребителя. </w:t>
      </w:r>
    </w:p>
    <w:p w:rsidR="00C91498" w:rsidRDefault="00C91498" w:rsidP="00C91498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91498" w:rsidRPr="00D70381" w:rsidRDefault="00C91498" w:rsidP="00C91498">
      <w:pPr>
        <w:ind w:firstLine="540"/>
        <w:rPr>
          <w:rFonts w:ascii="Times New Roman" w:hAnsi="Times New Roman"/>
          <w:b/>
          <w:sz w:val="26"/>
          <w:szCs w:val="26"/>
        </w:rPr>
      </w:pPr>
      <w:r w:rsidRPr="00D70381">
        <w:rPr>
          <w:rFonts w:ascii="Times New Roman" w:hAnsi="Times New Roman"/>
          <w:b/>
          <w:sz w:val="26"/>
          <w:szCs w:val="26"/>
        </w:rPr>
        <w:t>Литература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t>Антонов А.П. Кинобизнес в России и С</w:t>
      </w:r>
      <w:r w:rsidR="00113461">
        <w:rPr>
          <w:rFonts w:ascii="Times New Roman" w:hAnsi="Times New Roman"/>
          <w:sz w:val="26"/>
          <w:szCs w:val="26"/>
        </w:rPr>
        <w:t>Ш</w:t>
      </w:r>
      <w:r w:rsidRPr="00D70381">
        <w:rPr>
          <w:rFonts w:ascii="Times New Roman" w:hAnsi="Times New Roman"/>
          <w:sz w:val="26"/>
          <w:szCs w:val="26"/>
        </w:rPr>
        <w:t>А: стратегия, история и перспективы // Экономический журнал. 2009. № 16. C. 134-142.</w:t>
      </w:r>
      <w:bookmarkStart w:id="0" w:name="_GoBack"/>
      <w:bookmarkEnd w:id="0"/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</w:rPr>
        <w:t>Калабихина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 Е.А. Рейтинг роста и финансирования кинопроизводства в странах с развитой киноиндустрией // Вестник МГУ, 2013. № 6. C. 43-59. 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</w:rPr>
        <w:t xml:space="preserve">Методология исследования сетевых форм организации бизнеса. Под науч. ред. М. Ю. </w:t>
      </w:r>
      <w:proofErr w:type="spellStart"/>
      <w:r w:rsidRPr="00D70381">
        <w:rPr>
          <w:rFonts w:ascii="Times New Roman" w:hAnsi="Times New Roman"/>
          <w:sz w:val="26"/>
          <w:szCs w:val="26"/>
        </w:rPr>
        <w:t>Шерешевой</w:t>
      </w:r>
      <w:proofErr w:type="spellEnd"/>
      <w:r w:rsidRPr="00D70381">
        <w:rPr>
          <w:rFonts w:ascii="Times New Roman" w:hAnsi="Times New Roman"/>
          <w:sz w:val="26"/>
          <w:szCs w:val="26"/>
        </w:rPr>
        <w:t>. М.: Изд. дом Высшей школы экономики, 2014.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70381">
        <w:rPr>
          <w:rFonts w:ascii="Times New Roman" w:hAnsi="Times New Roman"/>
          <w:bCs/>
          <w:color w:val="000000"/>
          <w:sz w:val="26"/>
          <w:szCs w:val="26"/>
        </w:rPr>
        <w:t>Шерешева М.Ю. Формы сетевого взаимодействия компаний. М.: Изд. дом ВШЭ, 2010.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lastRenderedPageBreak/>
        <w:t>Acland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C.R. Screen traffic: Movies, Multiplexes, and Global Culture. Durham and London: Duke University Press, 2003. 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Athique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A.M., Hill D. The Multiplex in India: A Cultural Economy of Urban Leisure, 2009.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Athique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A.M., Hill D. Multiplex Cinemas and Urban Redevelopment in India // Media International Australia. 2007. № 124. P. 108-118.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Balaeva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O., </w:t>
      </w: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Burnatseva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E., </w:t>
      </w: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Predvoditeleva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M., </w:t>
      </w: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Sheresheva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M., </w:t>
      </w: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Tretyak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, O. Network Strategies of Hospitality Companies in Emerging and Transitory Economies: Evidence from Russia </w:t>
      </w:r>
      <w:r w:rsidRPr="00D70381">
        <w:rPr>
          <w:rStyle w:val="FontStyle32"/>
          <w:sz w:val="26"/>
          <w:szCs w:val="26"/>
          <w:lang w:val="en-US"/>
        </w:rPr>
        <w:t xml:space="preserve">// </w:t>
      </w:r>
      <w:proofErr w:type="spellStart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>N.Delener</w:t>
      </w:r>
      <w:proofErr w:type="spellEnd"/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(Ed.). Service Science Research, Strategy and Innovation: Dynamic Knowledge Management Methods. Hershey</w:t>
      </w:r>
      <w:r w:rsidRPr="00D70381">
        <w:rPr>
          <w:rFonts w:ascii="Times New Roman" w:hAnsi="Times New Roman"/>
          <w:bCs/>
          <w:color w:val="000000"/>
          <w:sz w:val="26"/>
          <w:szCs w:val="26"/>
        </w:rPr>
        <w:t>:</w:t>
      </w:r>
      <w:r w:rsidRPr="00D70381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IGI Global, 2012. P.519-546.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Bose D. Brand Bollywood: A New Global Entertainment Order. New Delhi: Sage, 2006.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Dogra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S.,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Ghosh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S., Ray R., Bhattacharya D.,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Sarkar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S.K. A New Scheme for Management of Cinema Multiplex System in a Cost Effective Way by Using RFID // Wireless Communication and Sensor Computing, 2010. ICWCSC 2010. International Conference on. IEEE, 2010. P. 1-5.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 xml:space="preserve">Gupta R. Film Distribution: The Changing Landscape //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Routledge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Handbook of Indian Cinemas. 2013. P. 327-336.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Collins A., Hand C., Ryder A. The Lure of the Multiplex? The Interplay of Time, Distance and Cinema Attendance // Environment and Planning A. 2005. Vol. 37. № 3. P. 483-501.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Lee N. J. Y. Localized Globalization and a Monster National: The Host and the South Korean Film Industry // Cinema Journal. 2011. Vol. 50. № 3. P. 45-61.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Lewis J. The End of Cinema (As We Know It). N.Y.: Blackwell Publishing Ltd, 2012.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Lovelock C. Services Marketing. People, Technology, Strategy. Upper Saddle River: Prentice Hall, 2001.</w:t>
      </w:r>
    </w:p>
    <w:p w:rsidR="00C91498" w:rsidRPr="00D70381" w:rsidRDefault="00C91498" w:rsidP="00C9149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61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Micanti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P.,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Baruffa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G., &amp;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Frescura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F. (2007). Reliable D-Cinema multicasting over heterogeneous networks // Journal of Communications. </w:t>
      </w:r>
      <w:r w:rsidRPr="00D70381">
        <w:rPr>
          <w:rFonts w:ascii="Times New Roman" w:hAnsi="Times New Roman"/>
          <w:sz w:val="26"/>
          <w:szCs w:val="26"/>
        </w:rPr>
        <w:t xml:space="preserve">2007.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Vol</w:t>
      </w:r>
      <w:proofErr w:type="spellEnd"/>
      <w:r w:rsidRPr="00D70381">
        <w:rPr>
          <w:rFonts w:ascii="Times New Roman" w:hAnsi="Times New Roman"/>
          <w:sz w:val="26"/>
          <w:szCs w:val="26"/>
        </w:rPr>
        <w:t xml:space="preserve">. 2. № 5. </w:t>
      </w:r>
      <w:r w:rsidRPr="00D70381">
        <w:rPr>
          <w:rFonts w:ascii="Times New Roman" w:hAnsi="Times New Roman"/>
          <w:sz w:val="26"/>
          <w:szCs w:val="26"/>
          <w:lang w:val="en-US"/>
        </w:rPr>
        <w:t>P</w:t>
      </w:r>
      <w:r w:rsidRPr="00D70381">
        <w:rPr>
          <w:rFonts w:ascii="Times New Roman" w:hAnsi="Times New Roman"/>
          <w:sz w:val="26"/>
          <w:szCs w:val="26"/>
        </w:rPr>
        <w:t xml:space="preserve">.25-34. </w:t>
      </w:r>
      <w:hyperlink r:id="rId7" w:history="1"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http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ojs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academypublisher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.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index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php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jcm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article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viewFile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/02052534/165</w:t>
        </w:r>
      </w:hyperlink>
      <w:r w:rsidRPr="00D70381">
        <w:rPr>
          <w:rStyle w:val="a7"/>
          <w:rFonts w:ascii="Times New Roman" w:hAnsi="Times New Roman"/>
          <w:sz w:val="26"/>
          <w:szCs w:val="26"/>
        </w:rPr>
        <w:t xml:space="preserve"> </w:t>
      </w:r>
      <w:r w:rsidRPr="00D70381">
        <w:rPr>
          <w:rFonts w:ascii="Times New Roman" w:hAnsi="Times New Roman"/>
          <w:sz w:val="26"/>
          <w:szCs w:val="26"/>
        </w:rPr>
        <w:t>(дата обращения: 25.01.2014).</w:t>
      </w:r>
    </w:p>
    <w:p w:rsidR="00C91498" w:rsidRPr="00D70381" w:rsidRDefault="00C91498" w:rsidP="00C914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Pine, J. Gilmore, J. The Experience Economy. Boston: Harvard Business School Press, 1999.</w:t>
      </w:r>
    </w:p>
    <w:p w:rsidR="00C91498" w:rsidRPr="00D70381" w:rsidRDefault="00C91498" w:rsidP="00C91498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70381">
        <w:rPr>
          <w:rFonts w:ascii="Times New Roman" w:hAnsi="Times New Roman"/>
          <w:sz w:val="26"/>
          <w:szCs w:val="26"/>
        </w:rPr>
        <w:lastRenderedPageBreak/>
        <w:t>See the Future. Top Industry Clusters in 2040 Revealed. Economic Views: Future Industry Clusters // PwC Website. 2010. September. URL: www.economics.pwc.com (дата обращения: 30.01.2014).</w:t>
      </w:r>
    </w:p>
    <w:p w:rsidR="00C91498" w:rsidRPr="00D70381" w:rsidRDefault="00C91498" w:rsidP="00C914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Simeonidou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D., Hunter, D. K.,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Ghandour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, M., &amp;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Nejabati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>, R. (2008). Optical Network Services for Ultra High Definition Digital Media Distribution // Broadband Communications, Networks and Systems, 2008, September. BROADNETS 2008. 5th International Conference (P.165-168). IEEE</w:t>
      </w:r>
      <w:r w:rsidRPr="00D70381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.</w:t>
      </w:r>
      <w:r w:rsidRPr="00D70381">
        <w:rPr>
          <w:rFonts w:ascii="Times New Roman" w:hAnsi="Times New Roman"/>
          <w:sz w:val="26"/>
          <w:szCs w:val="26"/>
          <w:lang w:val="en-US"/>
        </w:rPr>
        <w:t xml:space="preserve"> </w:t>
      </w:r>
      <w:hyperlink r:id="rId8" w:history="1">
        <w:r w:rsidRPr="00D70381">
          <w:rPr>
            <w:rFonts w:ascii="Times New Roman" w:hAnsi="Times New Roman"/>
            <w:sz w:val="26"/>
            <w:szCs w:val="26"/>
            <w:lang w:val="en-US"/>
          </w:rPr>
          <w:t>http://www.decayaitch.co.uk/Simeonidou%20GOSP-BROADNETS08.pdf</w:t>
        </w:r>
      </w:hyperlink>
      <w:r w:rsidRPr="00D70381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D70381">
        <w:rPr>
          <w:rFonts w:ascii="Times New Roman" w:hAnsi="Times New Roman"/>
          <w:sz w:val="26"/>
          <w:szCs w:val="26"/>
        </w:rPr>
        <w:t>дата</w:t>
      </w:r>
      <w:r w:rsidRPr="00D70381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70381">
        <w:rPr>
          <w:rFonts w:ascii="Times New Roman" w:hAnsi="Times New Roman"/>
          <w:sz w:val="26"/>
          <w:szCs w:val="26"/>
        </w:rPr>
        <w:t>обращения</w:t>
      </w:r>
      <w:r w:rsidRPr="00D70381">
        <w:rPr>
          <w:rFonts w:ascii="Times New Roman" w:hAnsi="Times New Roman"/>
          <w:sz w:val="26"/>
          <w:szCs w:val="26"/>
          <w:lang w:val="en-US"/>
        </w:rPr>
        <w:t>: 01.02.2014).</w:t>
      </w:r>
    </w:p>
    <w:p w:rsidR="00C91498" w:rsidRPr="00D70381" w:rsidRDefault="00C91498" w:rsidP="00C914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Vinayaka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 H. Service Marketing in Multiplex // Publications </w:t>
      </w:r>
      <w:proofErr w:type="spellStart"/>
      <w:r w:rsidRPr="00D70381">
        <w:rPr>
          <w:rFonts w:ascii="Times New Roman" w:hAnsi="Times New Roman"/>
          <w:sz w:val="26"/>
          <w:szCs w:val="26"/>
          <w:lang w:val="en-US"/>
        </w:rPr>
        <w:t>Oboulo</w:t>
      </w:r>
      <w:proofErr w:type="spellEnd"/>
      <w:r w:rsidRPr="00D70381">
        <w:rPr>
          <w:rFonts w:ascii="Times New Roman" w:hAnsi="Times New Roman"/>
          <w:sz w:val="26"/>
          <w:szCs w:val="26"/>
          <w:lang w:val="en-US"/>
        </w:rPr>
        <w:t xml:space="preserve">. com. 2009. </w:t>
      </w:r>
      <w:hyperlink r:id="rId9" w:history="1"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http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://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oboolo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.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business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market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marketing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proofErr w:type="spellStart"/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indian</w:t>
        </w:r>
        <w:proofErr w:type="spellEnd"/>
        <w:r w:rsidRPr="00D70381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project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/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service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marketing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in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-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multiplex</w:t>
        </w:r>
        <w:r w:rsidRPr="00D70381">
          <w:rPr>
            <w:rStyle w:val="a7"/>
            <w:rFonts w:ascii="Times New Roman" w:hAnsi="Times New Roman"/>
            <w:sz w:val="26"/>
            <w:szCs w:val="26"/>
          </w:rPr>
          <w:t>-65599.</w:t>
        </w:r>
        <w:r w:rsidRPr="00D70381">
          <w:rPr>
            <w:rStyle w:val="a7"/>
            <w:rFonts w:ascii="Times New Roman" w:hAnsi="Times New Roman"/>
            <w:sz w:val="26"/>
            <w:szCs w:val="26"/>
            <w:lang w:val="en-US"/>
          </w:rPr>
          <w:t>html</w:t>
        </w:r>
      </w:hyperlink>
      <w:r w:rsidRPr="00D70381">
        <w:rPr>
          <w:rFonts w:ascii="Times New Roman" w:hAnsi="Times New Roman"/>
          <w:sz w:val="26"/>
          <w:szCs w:val="26"/>
        </w:rPr>
        <w:t xml:space="preserve"> (дата обращения: 01.02.2014).</w:t>
      </w:r>
    </w:p>
    <w:p w:rsidR="00C91498" w:rsidRPr="00D70381" w:rsidRDefault="00C91498" w:rsidP="00C914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D70381">
        <w:rPr>
          <w:rFonts w:ascii="Times New Roman" w:hAnsi="Times New Roman"/>
          <w:sz w:val="26"/>
          <w:szCs w:val="26"/>
          <w:lang w:val="en-US"/>
        </w:rPr>
        <w:t>Wakabayashi N., Yamashita M., Yamada J. Japanese Networks for Top-Performing Films: Repeated Teams Preserve Uniqueness // Journal of Media Business Studies. 2009. Vol. 6. № 4.</w:t>
      </w:r>
      <w:r w:rsidRPr="00D70381">
        <w:rPr>
          <w:rFonts w:ascii="Times New Roman" w:hAnsi="Times New Roman"/>
          <w:sz w:val="26"/>
          <w:szCs w:val="26"/>
        </w:rPr>
        <w:t xml:space="preserve"> </w:t>
      </w:r>
      <w:r w:rsidRPr="00D70381">
        <w:rPr>
          <w:rFonts w:ascii="Times New Roman" w:hAnsi="Times New Roman"/>
          <w:sz w:val="26"/>
          <w:szCs w:val="26"/>
          <w:lang w:val="en-US"/>
        </w:rPr>
        <w:t>P. 31-48.</w:t>
      </w:r>
    </w:p>
    <w:p w:rsidR="00C91498" w:rsidRPr="00D70381" w:rsidRDefault="00C91498" w:rsidP="00C914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sectPr w:rsidR="00C91498" w:rsidRPr="00D7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8C3"/>
    <w:multiLevelType w:val="hybridMultilevel"/>
    <w:tmpl w:val="9CBEB50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8D11B1"/>
    <w:multiLevelType w:val="hybridMultilevel"/>
    <w:tmpl w:val="D234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FAC"/>
    <w:multiLevelType w:val="hybridMultilevel"/>
    <w:tmpl w:val="0756BB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94AEF"/>
    <w:multiLevelType w:val="hybridMultilevel"/>
    <w:tmpl w:val="FBD4B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8"/>
    <w:rsid w:val="00113461"/>
    <w:rsid w:val="005D13D3"/>
    <w:rsid w:val="00C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8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91498"/>
    <w:pPr>
      <w:ind w:left="720"/>
      <w:contextualSpacing/>
    </w:pPr>
  </w:style>
  <w:style w:type="paragraph" w:styleId="a5">
    <w:name w:val="footnote text"/>
    <w:aliases w:val="список,-++,Текст сноски-FN,Текст сноски Знак Знак Знак,Table_Footnote_last Знак,Table_Footnote_last Знак Знак,Table_Footnote_last,single space,footnote text,Footnote Text Char Знак Знак,Footnote Text Char Знак,Текст сноски Знак Знак,fn,ft,f"/>
    <w:basedOn w:val="a"/>
    <w:link w:val="a6"/>
    <w:uiPriority w:val="99"/>
    <w:rsid w:val="00C91498"/>
    <w:pPr>
      <w:spacing w:line="240" w:lineRule="auto"/>
    </w:pPr>
    <w:rPr>
      <w:noProof/>
      <w:sz w:val="20"/>
      <w:szCs w:val="20"/>
      <w:lang w:val="en-US"/>
    </w:rPr>
  </w:style>
  <w:style w:type="character" w:customStyle="1" w:styleId="a6">
    <w:name w:val="Текст сноски Знак"/>
    <w:aliases w:val="список Знак,-++ Знак,Текст сноски-FN Знак,Текст сноски Знак Знак Знак Знак,Table_Footnote_last Знак Знак1,Table_Footnote_last Знак Знак Знак,Table_Footnote_last Знак1,single space Знак,footnote text Знак,Footnote Text Char Знак Знак1"/>
    <w:basedOn w:val="a0"/>
    <w:link w:val="a5"/>
    <w:uiPriority w:val="99"/>
    <w:rsid w:val="00C91498"/>
    <w:rPr>
      <w:rFonts w:ascii="Calibri" w:eastAsia="Calibri" w:hAnsi="Calibri" w:cs="Times New Roman"/>
      <w:noProof/>
      <w:sz w:val="20"/>
      <w:szCs w:val="20"/>
      <w:lang w:val="en-US"/>
    </w:rPr>
  </w:style>
  <w:style w:type="character" w:styleId="a7">
    <w:name w:val="Hyperlink"/>
    <w:unhideWhenUsed/>
    <w:rsid w:val="00C91498"/>
    <w:rPr>
      <w:color w:val="0000FF"/>
      <w:u w:val="single"/>
    </w:rPr>
  </w:style>
  <w:style w:type="paragraph" w:customStyle="1" w:styleId="Default">
    <w:name w:val="Default"/>
    <w:rsid w:val="00C91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C91498"/>
  </w:style>
  <w:style w:type="character" w:customStyle="1" w:styleId="longtext">
    <w:name w:val="long_text"/>
    <w:rsid w:val="00C91498"/>
    <w:rPr>
      <w:rFonts w:cs="Times New Roman"/>
    </w:rPr>
  </w:style>
  <w:style w:type="character" w:customStyle="1" w:styleId="FontStyle32">
    <w:name w:val="Font Style32"/>
    <w:uiPriority w:val="99"/>
    <w:rsid w:val="00C91498"/>
    <w:rPr>
      <w:rFonts w:ascii="Times New Roman" w:hAnsi="Times New Roman" w:cs="Times New Roman"/>
      <w:color w:val="000000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C9149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4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8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91498"/>
    <w:pPr>
      <w:ind w:left="720"/>
      <w:contextualSpacing/>
    </w:pPr>
  </w:style>
  <w:style w:type="paragraph" w:styleId="a5">
    <w:name w:val="footnote text"/>
    <w:aliases w:val="список,-++,Текст сноски-FN,Текст сноски Знак Знак Знак,Table_Footnote_last Знак,Table_Footnote_last Знак Знак,Table_Footnote_last,single space,footnote text,Footnote Text Char Знак Знак,Footnote Text Char Знак,Текст сноски Знак Знак,fn,ft,f"/>
    <w:basedOn w:val="a"/>
    <w:link w:val="a6"/>
    <w:uiPriority w:val="99"/>
    <w:rsid w:val="00C91498"/>
    <w:pPr>
      <w:spacing w:line="240" w:lineRule="auto"/>
    </w:pPr>
    <w:rPr>
      <w:noProof/>
      <w:sz w:val="20"/>
      <w:szCs w:val="20"/>
      <w:lang w:val="en-US"/>
    </w:rPr>
  </w:style>
  <w:style w:type="character" w:customStyle="1" w:styleId="a6">
    <w:name w:val="Текст сноски Знак"/>
    <w:aliases w:val="список Знак,-++ Знак,Текст сноски-FN Знак,Текст сноски Знак Знак Знак Знак,Table_Footnote_last Знак Знак1,Table_Footnote_last Знак Знак Знак,Table_Footnote_last Знак1,single space Знак,footnote text Знак,Footnote Text Char Знак Знак1"/>
    <w:basedOn w:val="a0"/>
    <w:link w:val="a5"/>
    <w:uiPriority w:val="99"/>
    <w:rsid w:val="00C91498"/>
    <w:rPr>
      <w:rFonts w:ascii="Calibri" w:eastAsia="Calibri" w:hAnsi="Calibri" w:cs="Times New Roman"/>
      <w:noProof/>
      <w:sz w:val="20"/>
      <w:szCs w:val="20"/>
      <w:lang w:val="en-US"/>
    </w:rPr>
  </w:style>
  <w:style w:type="character" w:styleId="a7">
    <w:name w:val="Hyperlink"/>
    <w:unhideWhenUsed/>
    <w:rsid w:val="00C91498"/>
    <w:rPr>
      <w:color w:val="0000FF"/>
      <w:u w:val="single"/>
    </w:rPr>
  </w:style>
  <w:style w:type="paragraph" w:customStyle="1" w:styleId="Default">
    <w:name w:val="Default"/>
    <w:rsid w:val="00C91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C91498"/>
  </w:style>
  <w:style w:type="character" w:customStyle="1" w:styleId="longtext">
    <w:name w:val="long_text"/>
    <w:rsid w:val="00C91498"/>
    <w:rPr>
      <w:rFonts w:cs="Times New Roman"/>
    </w:rPr>
  </w:style>
  <w:style w:type="character" w:customStyle="1" w:styleId="FontStyle32">
    <w:name w:val="Font Style32"/>
    <w:uiPriority w:val="99"/>
    <w:rsid w:val="00C91498"/>
    <w:rPr>
      <w:rFonts w:ascii="Times New Roman" w:hAnsi="Times New Roman" w:cs="Times New Roman"/>
      <w:color w:val="000000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C9149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4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yaitch.co.uk/Simeonidou%20GOSP-BROADNETS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js.academypublisher.com/index.php/jcm/article/viewFile/02052534/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oolo.com/business-market/marketing/indian-project/service-marketing-in-multiplex-655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2015-04-11T21:13:00Z</dcterms:created>
  <dcterms:modified xsi:type="dcterms:W3CDTF">2015-04-11T21:13:00Z</dcterms:modified>
</cp:coreProperties>
</file>